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45A61">
      <w:pPr>
        <w:pStyle w:val="2"/>
        <w:spacing w:before="0" w:after="0" w:line="480" w:lineRule="auto"/>
        <w:jc w:val="center"/>
        <w:rPr>
          <w:rFonts w:eastAsiaTheme="minorHAnsi"/>
          <w:color w:val="FFFFFF" w:themeColor="background1"/>
          <w14:textFill>
            <w14:solidFill>
              <w14:schemeClr w14:val="bg1"/>
            </w14:solidFill>
          </w14:textFill>
        </w:rPr>
      </w:pPr>
      <w:bookmarkStart w:id="0" w:name="_Toc215132335"/>
      <w:r>
        <w:rPr>
          <w:rFonts w:eastAsiaTheme="minorHAnsi"/>
          <w:color w:val="FFFFFF" w:themeColor="background1"/>
          <w14:textFill>
            <w14:solidFill>
              <w14:schemeClr w14:val="bg1"/>
            </w14:solidFill>
          </w14:textFill>
        </w:rPr>
        <w:t>TITLE PAGE</w:t>
      </w:r>
      <w:bookmarkEnd w:id="0"/>
    </w:p>
    <w:p w14:paraId="416E47C3">
      <w:pPr>
        <w:pStyle w:val="49"/>
        <w:jc w:val="center"/>
        <w:rPr>
          <w:rFonts w:cs="Times New Roman" w:eastAsiaTheme="minorHAnsi"/>
          <w:b w:val="0"/>
          <w:sz w:val="24"/>
          <w:szCs w:val="24"/>
        </w:rPr>
      </w:pPr>
      <w:r>
        <w:rPr>
          <w:rFonts w:cs="Times New Roman" w:eastAsiaTheme="minorHAnsi"/>
          <w:sz w:val="24"/>
          <w:szCs w:val="24"/>
        </w:rPr>
        <w:t xml:space="preserve">ANTIBACTERIAL AND PHYTOCHEMICAL PROPERTIES OF METHANOL ROOTS EXTRACT OF </w:t>
      </w:r>
      <w:r>
        <w:rPr>
          <w:rFonts w:cs="Times New Roman" w:eastAsiaTheme="minorHAnsi"/>
          <w:i/>
          <w:sz w:val="24"/>
          <w:szCs w:val="24"/>
        </w:rPr>
        <w:t>Boscia angustifolia</w:t>
      </w:r>
    </w:p>
    <w:p w14:paraId="7AA54DCF">
      <w:pPr>
        <w:spacing w:line="278" w:lineRule="auto"/>
        <w:jc w:val="center"/>
        <w:rPr>
          <w:rFonts w:ascii="Times New Roman" w:hAnsi="Times New Roman" w:cs="Times New Roman"/>
          <w:color w:val="000000" w:themeColor="text1"/>
          <w:sz w:val="24"/>
          <w:szCs w:val="24"/>
          <w14:textFill>
            <w14:solidFill>
              <w14:schemeClr w14:val="tx1"/>
            </w14:solidFill>
          </w14:textFill>
        </w:rPr>
      </w:pPr>
    </w:p>
    <w:p w14:paraId="75DE6461">
      <w:pPr>
        <w:spacing w:line="278" w:lineRule="auto"/>
        <w:jc w:val="center"/>
        <w:rPr>
          <w:rFonts w:ascii="Times New Roman" w:hAnsi="Times New Roman" w:cs="Times New Roman"/>
          <w:b/>
          <w:color w:val="000000" w:themeColor="text1"/>
          <w:sz w:val="24"/>
          <w:szCs w:val="24"/>
          <w14:textFill>
            <w14:solidFill>
              <w14:schemeClr w14:val="tx1"/>
            </w14:solidFill>
          </w14:textFill>
        </w:rPr>
      </w:pPr>
    </w:p>
    <w:p w14:paraId="286B114C">
      <w:pPr>
        <w:spacing w:line="278" w:lineRule="auto"/>
        <w:jc w:val="center"/>
        <w:rPr>
          <w:rFonts w:ascii="Times New Roman" w:hAnsi="Times New Roman" w:cs="Times New Roman"/>
          <w:b/>
          <w:color w:val="000000" w:themeColor="text1"/>
          <w:sz w:val="24"/>
          <w:szCs w:val="24"/>
          <w14:textFill>
            <w14:solidFill>
              <w14:schemeClr w14:val="tx1"/>
            </w14:solidFill>
          </w14:textFill>
        </w:rPr>
      </w:pPr>
    </w:p>
    <w:p w14:paraId="0016A565">
      <w:pPr>
        <w:spacing w:line="278"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A</w:t>
      </w:r>
    </w:p>
    <w:p w14:paraId="50775680">
      <w:pPr>
        <w:spacing w:line="278" w:lineRule="auto"/>
        <w:jc w:val="center"/>
        <w:rPr>
          <w:rFonts w:ascii="Times New Roman" w:hAnsi="Times New Roman" w:cs="Times New Roman"/>
          <w:b/>
          <w:color w:val="000000" w:themeColor="text1"/>
          <w:sz w:val="24"/>
          <w:szCs w:val="24"/>
          <w14:textFill>
            <w14:solidFill>
              <w14:schemeClr w14:val="tx1"/>
            </w14:solidFill>
          </w14:textFill>
        </w:rPr>
      </w:pPr>
    </w:p>
    <w:p w14:paraId="4B9A25D1">
      <w:pPr>
        <w:spacing w:line="278"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PROJECT REPORT</w:t>
      </w:r>
    </w:p>
    <w:p w14:paraId="6473AA1E">
      <w:pPr>
        <w:spacing w:line="278" w:lineRule="auto"/>
        <w:jc w:val="center"/>
        <w:rPr>
          <w:rFonts w:ascii="Times New Roman" w:hAnsi="Times New Roman" w:cs="Times New Roman"/>
          <w:b/>
          <w:color w:val="000000" w:themeColor="text1"/>
          <w:sz w:val="24"/>
          <w:szCs w:val="24"/>
          <w14:textFill>
            <w14:solidFill>
              <w14:schemeClr w14:val="tx1"/>
            </w14:solidFill>
          </w14:textFill>
        </w:rPr>
      </w:pPr>
    </w:p>
    <w:p w14:paraId="009226BB">
      <w:pPr>
        <w:spacing w:line="278" w:lineRule="auto"/>
        <w:jc w:val="center"/>
        <w:rPr>
          <w:rFonts w:ascii="Times New Roman" w:hAnsi="Times New Roman" w:cs="Times New Roman"/>
          <w:b/>
          <w:color w:val="000000" w:themeColor="text1"/>
          <w:sz w:val="24"/>
          <w:szCs w:val="24"/>
          <w14:textFill>
            <w14:solidFill>
              <w14:schemeClr w14:val="tx1"/>
            </w14:solidFill>
          </w14:textFill>
        </w:rPr>
      </w:pPr>
    </w:p>
    <w:p w14:paraId="4344BC31">
      <w:pPr>
        <w:spacing w:line="278"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SUBMITTED TO THE</w:t>
      </w:r>
    </w:p>
    <w:p w14:paraId="3908C35A">
      <w:pPr>
        <w:spacing w:line="278" w:lineRule="auto"/>
        <w:jc w:val="center"/>
        <w:rPr>
          <w:rFonts w:ascii="Times New Roman" w:hAnsi="Times New Roman" w:cs="Times New Roman"/>
          <w:b/>
          <w:color w:val="000000" w:themeColor="text1"/>
          <w:sz w:val="24"/>
          <w:szCs w:val="24"/>
          <w14:textFill>
            <w14:solidFill>
              <w14:schemeClr w14:val="tx1"/>
            </w14:solidFill>
          </w14:textFill>
        </w:rPr>
      </w:pPr>
    </w:p>
    <w:p w14:paraId="60B3C593">
      <w:pPr>
        <w:spacing w:line="278" w:lineRule="auto"/>
        <w:jc w:val="center"/>
        <w:rPr>
          <w:rFonts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lang w:val="en-US"/>
          <w14:textFill>
            <w14:solidFill>
              <w14:schemeClr w14:val="tx1"/>
            </w14:solidFill>
          </w14:textFill>
        </w:rPr>
        <w:t>D</w:t>
      </w:r>
      <w:r>
        <w:rPr>
          <w:rFonts w:ascii="Times New Roman" w:hAnsi="Times New Roman" w:cs="Times New Roman"/>
          <w:b/>
          <w:color w:val="000000" w:themeColor="text1"/>
          <w:sz w:val="24"/>
          <w:szCs w:val="24"/>
          <w14:textFill>
            <w14:solidFill>
              <w14:schemeClr w14:val="tx1"/>
            </w14:solidFill>
          </w14:textFill>
        </w:rPr>
        <w:t>EPARTMENT OF BIOCHEMISTRY AND MOLECULAR BIOLOGY, USUMANU DDANFODIYO UNIVERSITY, SOKOTO, NIGERIA</w:t>
      </w:r>
    </w:p>
    <w:p w14:paraId="2B09E0D6">
      <w:pPr>
        <w:spacing w:line="278" w:lineRule="auto"/>
        <w:jc w:val="center"/>
        <w:rPr>
          <w:rFonts w:ascii="Times New Roman" w:hAnsi="Times New Roman" w:cs="Times New Roman"/>
          <w:b/>
          <w:color w:val="000000" w:themeColor="text1"/>
          <w:sz w:val="24"/>
          <w:szCs w:val="24"/>
          <w14:textFill>
            <w14:solidFill>
              <w14:schemeClr w14:val="tx1"/>
            </w14:solidFill>
          </w14:textFill>
        </w:rPr>
      </w:pPr>
    </w:p>
    <w:p w14:paraId="66F42451">
      <w:pPr>
        <w:spacing w:line="278" w:lineRule="auto"/>
        <w:jc w:val="center"/>
        <w:rPr>
          <w:rFonts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lang w:val="en-US"/>
          <w14:textFill>
            <w14:solidFill>
              <w14:schemeClr w14:val="tx1"/>
            </w14:solidFill>
          </w14:textFill>
        </w:rPr>
        <w:t>I</w:t>
      </w:r>
      <w:r>
        <w:rPr>
          <w:rFonts w:ascii="Times New Roman" w:hAnsi="Times New Roman" w:cs="Times New Roman"/>
          <w:b/>
          <w:color w:val="000000" w:themeColor="text1"/>
          <w:sz w:val="24"/>
          <w:szCs w:val="24"/>
          <w14:textFill>
            <w14:solidFill>
              <w14:schemeClr w14:val="tx1"/>
            </w14:solidFill>
          </w14:textFill>
        </w:rPr>
        <w:t>N PARTIAL FULFILMENT OF THE REQUIREMENTS FOR THE AWARD OF IBACHELOR OF SCIENCE (B.Sc HONS) DEGREE IN BIOCHEMISTRY</w:t>
      </w:r>
    </w:p>
    <w:p w14:paraId="194AD75A">
      <w:pPr>
        <w:spacing w:line="278" w:lineRule="auto"/>
        <w:jc w:val="center"/>
        <w:rPr>
          <w:rFonts w:ascii="Times New Roman" w:hAnsi="Times New Roman" w:cs="Times New Roman"/>
          <w:b/>
          <w:color w:val="000000" w:themeColor="text1"/>
          <w:sz w:val="24"/>
          <w:szCs w:val="24"/>
          <w14:textFill>
            <w14:solidFill>
              <w14:schemeClr w14:val="tx1"/>
            </w14:solidFill>
          </w14:textFill>
        </w:rPr>
      </w:pPr>
    </w:p>
    <w:p w14:paraId="5D201FEC">
      <w:pPr>
        <w:spacing w:line="278" w:lineRule="auto"/>
        <w:jc w:val="center"/>
        <w:rPr>
          <w:rFonts w:ascii="Times New Roman" w:hAnsi="Times New Roman" w:cs="Times New Roman"/>
          <w:b/>
          <w:color w:val="000000" w:themeColor="text1"/>
          <w:sz w:val="24"/>
          <w:szCs w:val="24"/>
          <w14:textFill>
            <w14:solidFill>
              <w14:schemeClr w14:val="tx1"/>
            </w14:solidFill>
          </w14:textFill>
        </w:rPr>
      </w:pPr>
    </w:p>
    <w:p w14:paraId="36296933">
      <w:pPr>
        <w:spacing w:line="278"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BY</w:t>
      </w:r>
    </w:p>
    <w:p w14:paraId="6D0C442C">
      <w:pPr>
        <w:spacing w:line="278" w:lineRule="auto"/>
        <w:jc w:val="center"/>
        <w:rPr>
          <w:rFonts w:ascii="Times New Roman" w:hAnsi="Times New Roman" w:cs="Times New Roman"/>
          <w:b/>
          <w:color w:val="000000" w:themeColor="text1"/>
          <w:sz w:val="24"/>
          <w:szCs w:val="24"/>
          <w14:textFill>
            <w14:solidFill>
              <w14:schemeClr w14:val="tx1"/>
            </w14:solidFill>
          </w14:textFill>
        </w:rPr>
      </w:pPr>
    </w:p>
    <w:p w14:paraId="3B511281">
      <w:pPr>
        <w:spacing w:line="278"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JONATHAN FAVOUR KINANG</w:t>
      </w:r>
    </w:p>
    <w:p w14:paraId="3772C86A">
      <w:pPr>
        <w:spacing w:line="278"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(ADM NO: 2010304057)</w:t>
      </w:r>
    </w:p>
    <w:p w14:paraId="3508F539">
      <w:pPr>
        <w:spacing w:line="278" w:lineRule="auto"/>
        <w:jc w:val="center"/>
        <w:rPr>
          <w:rFonts w:ascii="Times New Roman" w:hAnsi="Times New Roman" w:cs="Times New Roman"/>
          <w:b/>
          <w:color w:val="000000" w:themeColor="text1"/>
          <w:sz w:val="24"/>
          <w:szCs w:val="24"/>
          <w14:textFill>
            <w14:solidFill>
              <w14:schemeClr w14:val="tx1"/>
            </w14:solidFill>
          </w14:textFill>
        </w:rPr>
      </w:pPr>
    </w:p>
    <w:p w14:paraId="1E6CD738">
      <w:pPr>
        <w:spacing w:line="278" w:lineRule="auto"/>
        <w:jc w:val="center"/>
        <w:rPr>
          <w:rFonts w:ascii="Times New Roman" w:hAnsi="Times New Roman" w:cs="Times New Roman"/>
          <w:b/>
          <w:color w:val="000000" w:themeColor="text1"/>
          <w:sz w:val="24"/>
          <w:szCs w:val="24"/>
          <w14:textFill>
            <w14:solidFill>
              <w14:schemeClr w14:val="tx1"/>
            </w14:solidFill>
          </w14:textFill>
        </w:rPr>
      </w:pPr>
    </w:p>
    <w:p w14:paraId="39EE19C8">
      <w:pPr>
        <w:spacing w:line="278" w:lineRule="auto"/>
        <w:jc w:val="center"/>
        <w:rPr>
          <w:rFonts w:ascii="Times New Roman" w:hAnsi="Times New Roman" w:cs="Times New Roman"/>
          <w:b/>
          <w:color w:val="000000" w:themeColor="text1"/>
          <w:sz w:val="24"/>
          <w:szCs w:val="24"/>
          <w14:textFill>
            <w14:solidFill>
              <w14:schemeClr w14:val="tx1"/>
            </w14:solidFill>
          </w14:textFill>
        </w:rPr>
      </w:pPr>
    </w:p>
    <w:p w14:paraId="01DCAC6E">
      <w:pPr>
        <w:spacing w:line="278"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DECEMBER, 2025</w:t>
      </w:r>
    </w:p>
    <w:p w14:paraId="1B5BE4BD">
      <w:pPr>
        <w:pStyle w:val="2"/>
        <w:spacing w:after="0" w:line="480" w:lineRule="auto"/>
        <w:jc w:val="center"/>
        <w:rPr>
          <w:rFonts w:cs="Times New Roman"/>
          <w:szCs w:val="24"/>
        </w:rPr>
      </w:pPr>
      <w:r>
        <w:br w:type="page"/>
      </w:r>
      <w:bookmarkStart w:id="1" w:name="_Toc215132336"/>
      <w:r>
        <w:rPr>
          <w:rFonts w:cs="Times New Roman"/>
          <w:szCs w:val="24"/>
        </w:rPr>
        <w:t>CERTIFICATION</w:t>
      </w:r>
      <w:bookmarkEnd w:id="1"/>
    </w:p>
    <w:p w14:paraId="16ACDF18">
      <w:pPr>
        <w:tabs>
          <w:tab w:val="left" w:pos="4002"/>
        </w:tabs>
        <w:spacing w:line="278" w:lineRule="auto"/>
        <w:jc w:val="both"/>
        <w:rPr>
          <w:rFonts w:ascii="Times New Roman" w:hAnsi="Times New Roman" w:cs="Times New Roman"/>
          <w:sz w:val="24"/>
          <w:szCs w:val="24"/>
        </w:rPr>
      </w:pPr>
      <w:r>
        <w:rPr>
          <w:rFonts w:ascii="Times New Roman" w:hAnsi="Times New Roman" w:cs="Times New Roman"/>
          <w:sz w:val="24"/>
          <w:szCs w:val="24"/>
        </w:rPr>
        <w:t>This is to certify that this research work reported here was conducted by JONATHAN, favour kinang (2010304057) and has been approved as meeting part of the requirements for the award of the Bachelor of Science (BSc) degree in Biochemistry of the Usmanu Danfodiyo University Sokoto.</w:t>
      </w:r>
    </w:p>
    <w:p w14:paraId="61AD2905">
      <w:pPr>
        <w:tabs>
          <w:tab w:val="left" w:pos="4002"/>
        </w:tabs>
        <w:spacing w:line="278" w:lineRule="auto"/>
        <w:jc w:val="both"/>
      </w:pPr>
    </w:p>
    <w:p w14:paraId="4B0B8DA4">
      <w:pPr>
        <w:tabs>
          <w:tab w:val="left" w:pos="4002"/>
        </w:tabs>
        <w:spacing w:line="278" w:lineRule="auto"/>
        <w:jc w:val="both"/>
      </w:pPr>
    </w:p>
    <w:p w14:paraId="1545AAD7">
      <w:pPr>
        <w:tabs>
          <w:tab w:val="left" w:pos="4002"/>
        </w:tabs>
        <w:spacing w:line="278" w:lineRule="auto"/>
        <w:jc w:val="both"/>
      </w:pPr>
    </w:p>
    <w:p w14:paraId="2CB7C0EA">
      <w:pPr>
        <w:tabs>
          <w:tab w:val="left" w:pos="4002"/>
        </w:tabs>
        <w:spacing w:line="278" w:lineRule="auto"/>
        <w:jc w:val="both"/>
      </w:pPr>
    </w:p>
    <w:p w14:paraId="584B39E3">
      <w:pPr>
        <w:tabs>
          <w:tab w:val="left" w:pos="4002"/>
        </w:tabs>
        <w:spacing w:line="278"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w:t>
      </w:r>
    </w:p>
    <w:p w14:paraId="243E1DA6">
      <w:pPr>
        <w:tabs>
          <w:tab w:val="left" w:pos="7768"/>
        </w:tabs>
        <w:spacing w:line="278" w:lineRule="auto"/>
        <w:jc w:val="both"/>
        <w:rPr>
          <w:rFonts w:ascii="Times New Roman" w:hAnsi="Times New Roman" w:cs="Times New Roman"/>
          <w:sz w:val="24"/>
          <w:szCs w:val="24"/>
        </w:rPr>
      </w:pPr>
      <w:r>
        <w:rPr>
          <w:rFonts w:ascii="Times New Roman" w:hAnsi="Times New Roman" w:cs="Times New Roman"/>
          <w:sz w:val="24"/>
          <w:szCs w:val="24"/>
        </w:rPr>
        <w:t>Prof. A. A. Turaki                                                                                                              Date</w:t>
      </w:r>
    </w:p>
    <w:p w14:paraId="2641FB5A">
      <w:pPr>
        <w:tabs>
          <w:tab w:val="left" w:pos="7768"/>
        </w:tabs>
        <w:spacing w:line="278" w:lineRule="auto"/>
        <w:jc w:val="both"/>
        <w:rPr>
          <w:rFonts w:ascii="Times New Roman" w:hAnsi="Times New Roman" w:cs="Times New Roman"/>
          <w:sz w:val="24"/>
          <w:szCs w:val="24"/>
        </w:rPr>
      </w:pPr>
      <w:r>
        <w:rPr>
          <w:rFonts w:ascii="Times New Roman" w:hAnsi="Times New Roman" w:cs="Times New Roman"/>
          <w:sz w:val="24"/>
          <w:szCs w:val="24"/>
        </w:rPr>
        <w:t>(External Examiner)</w:t>
      </w:r>
    </w:p>
    <w:p w14:paraId="4B2BC62E">
      <w:pPr>
        <w:tabs>
          <w:tab w:val="left" w:pos="7768"/>
        </w:tabs>
        <w:spacing w:line="278" w:lineRule="auto"/>
        <w:jc w:val="both"/>
        <w:rPr>
          <w:rFonts w:ascii="Times New Roman" w:hAnsi="Times New Roman" w:cs="Times New Roman"/>
          <w:sz w:val="24"/>
          <w:szCs w:val="24"/>
        </w:rPr>
      </w:pPr>
    </w:p>
    <w:p w14:paraId="695EB623">
      <w:pPr>
        <w:tabs>
          <w:tab w:val="left" w:pos="7768"/>
        </w:tabs>
        <w:spacing w:line="278" w:lineRule="auto"/>
        <w:jc w:val="both"/>
        <w:rPr>
          <w:rFonts w:ascii="Times New Roman" w:hAnsi="Times New Roman" w:cs="Times New Roman"/>
          <w:sz w:val="24"/>
          <w:szCs w:val="24"/>
        </w:rPr>
      </w:pPr>
    </w:p>
    <w:p w14:paraId="717E5E57">
      <w:pPr>
        <w:tabs>
          <w:tab w:val="left" w:pos="7768"/>
        </w:tabs>
        <w:spacing w:line="278" w:lineRule="auto"/>
        <w:jc w:val="both"/>
        <w:rPr>
          <w:rFonts w:ascii="Times New Roman" w:hAnsi="Times New Roman" w:cs="Times New Roman"/>
          <w:sz w:val="24"/>
          <w:szCs w:val="24"/>
        </w:rPr>
      </w:pPr>
    </w:p>
    <w:p w14:paraId="17F61297">
      <w:pPr>
        <w:tabs>
          <w:tab w:val="left" w:pos="7768"/>
        </w:tabs>
        <w:spacing w:line="278"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w:t>
      </w:r>
    </w:p>
    <w:p w14:paraId="3F011A70">
      <w:pPr>
        <w:tabs>
          <w:tab w:val="left" w:pos="7768"/>
        </w:tabs>
        <w:spacing w:line="278" w:lineRule="auto"/>
        <w:jc w:val="both"/>
        <w:rPr>
          <w:rFonts w:ascii="Times New Roman" w:hAnsi="Times New Roman" w:cs="Times New Roman"/>
          <w:sz w:val="24"/>
          <w:szCs w:val="24"/>
        </w:rPr>
      </w:pPr>
      <w:r>
        <w:rPr>
          <w:rFonts w:ascii="Times New Roman" w:hAnsi="Times New Roman" w:cs="Times New Roman"/>
          <w:sz w:val="24"/>
          <w:szCs w:val="24"/>
        </w:rPr>
        <w:t>Prof. S. W. Hassan                                                                                                              Date</w:t>
      </w:r>
    </w:p>
    <w:p w14:paraId="2E2C4F0F">
      <w:pPr>
        <w:tabs>
          <w:tab w:val="left" w:pos="7768"/>
        </w:tabs>
        <w:spacing w:line="278" w:lineRule="auto"/>
        <w:jc w:val="both"/>
        <w:rPr>
          <w:rFonts w:ascii="Times New Roman" w:hAnsi="Times New Roman" w:cs="Times New Roman"/>
          <w:sz w:val="24"/>
          <w:szCs w:val="24"/>
        </w:rPr>
      </w:pPr>
      <w:r>
        <w:rPr>
          <w:rFonts w:ascii="Times New Roman" w:hAnsi="Times New Roman" w:cs="Times New Roman"/>
          <w:sz w:val="24"/>
          <w:szCs w:val="24"/>
        </w:rPr>
        <w:t xml:space="preserve">(Supervisor) </w:t>
      </w:r>
    </w:p>
    <w:p w14:paraId="075F8379">
      <w:pPr>
        <w:tabs>
          <w:tab w:val="left" w:pos="7768"/>
        </w:tabs>
        <w:spacing w:line="278" w:lineRule="auto"/>
        <w:jc w:val="both"/>
        <w:rPr>
          <w:rFonts w:ascii="Times New Roman" w:hAnsi="Times New Roman" w:cs="Times New Roman"/>
          <w:sz w:val="24"/>
          <w:szCs w:val="24"/>
        </w:rPr>
      </w:pPr>
    </w:p>
    <w:p w14:paraId="76435BB9">
      <w:pPr>
        <w:tabs>
          <w:tab w:val="left" w:pos="7768"/>
        </w:tabs>
        <w:spacing w:line="278" w:lineRule="auto"/>
        <w:jc w:val="both"/>
        <w:rPr>
          <w:rFonts w:ascii="Times New Roman" w:hAnsi="Times New Roman" w:cs="Times New Roman"/>
          <w:sz w:val="24"/>
          <w:szCs w:val="24"/>
        </w:rPr>
      </w:pPr>
    </w:p>
    <w:p w14:paraId="1122ACD7">
      <w:pPr>
        <w:tabs>
          <w:tab w:val="left" w:pos="7768"/>
        </w:tabs>
        <w:spacing w:line="278" w:lineRule="auto"/>
        <w:jc w:val="both"/>
        <w:rPr>
          <w:rFonts w:ascii="Times New Roman" w:hAnsi="Times New Roman" w:cs="Times New Roman"/>
          <w:sz w:val="24"/>
          <w:szCs w:val="24"/>
        </w:rPr>
      </w:pPr>
    </w:p>
    <w:p w14:paraId="7A4D657B">
      <w:pPr>
        <w:tabs>
          <w:tab w:val="left" w:pos="7768"/>
        </w:tabs>
        <w:spacing w:line="278" w:lineRule="auto"/>
        <w:jc w:val="both"/>
        <w:rPr>
          <w:rFonts w:ascii="Times New Roman" w:hAnsi="Times New Roman" w:cs="Times New Roman"/>
          <w:sz w:val="24"/>
          <w:szCs w:val="24"/>
        </w:rPr>
      </w:pPr>
      <w:r>
        <w:rPr>
          <w:rFonts w:ascii="Times New Roman" w:hAnsi="Times New Roman" w:cs="Times New Roman"/>
          <w:sz w:val="24"/>
          <w:szCs w:val="24"/>
        </w:rPr>
        <w:t>__________________________                                                                    _________________________</w:t>
      </w:r>
    </w:p>
    <w:p w14:paraId="46C594F9">
      <w:pPr>
        <w:tabs>
          <w:tab w:val="left" w:pos="7768"/>
        </w:tabs>
        <w:spacing w:line="278" w:lineRule="auto"/>
        <w:jc w:val="both"/>
        <w:rPr>
          <w:rFonts w:ascii="Times New Roman" w:hAnsi="Times New Roman" w:cs="Times New Roman"/>
          <w:sz w:val="24"/>
          <w:szCs w:val="24"/>
        </w:rPr>
      </w:pPr>
      <w:r>
        <w:rPr>
          <w:rFonts w:ascii="Times New Roman" w:hAnsi="Times New Roman" w:cs="Times New Roman"/>
          <w:sz w:val="24"/>
          <w:szCs w:val="24"/>
        </w:rPr>
        <w:t>Dr. A. Lawal                                                                                                                        Date</w:t>
      </w:r>
    </w:p>
    <w:p w14:paraId="55A65CF7">
      <w:pPr>
        <w:tabs>
          <w:tab w:val="left" w:pos="7768"/>
        </w:tabs>
        <w:spacing w:line="278" w:lineRule="auto"/>
        <w:jc w:val="both"/>
        <w:rPr>
          <w:rFonts w:ascii="Times New Roman" w:hAnsi="Times New Roman" w:cs="Times New Roman"/>
          <w:sz w:val="24"/>
          <w:szCs w:val="24"/>
        </w:rPr>
      </w:pPr>
      <w:r>
        <w:rPr>
          <w:rFonts w:ascii="Times New Roman" w:hAnsi="Times New Roman" w:cs="Times New Roman"/>
          <w:sz w:val="24"/>
          <w:szCs w:val="24"/>
        </w:rPr>
        <w:t>(Head of Department)</w:t>
      </w:r>
    </w:p>
    <w:p w14:paraId="4F6B0765">
      <w:pPr>
        <w:tabs>
          <w:tab w:val="left" w:pos="4002"/>
        </w:tabs>
        <w:spacing w:line="278" w:lineRule="auto"/>
        <w:rPr>
          <w:rFonts w:ascii="Times New Roman" w:hAnsi="Times New Roman" w:eastAsiaTheme="majorEastAsia" w:cstheme="majorBidi"/>
          <w:b/>
          <w:color w:val="000000" w:themeColor="text1"/>
          <w:sz w:val="24"/>
          <w:szCs w:val="40"/>
          <w14:textFill>
            <w14:solidFill>
              <w14:schemeClr w14:val="tx1"/>
            </w14:solidFill>
          </w14:textFill>
        </w:rPr>
      </w:pPr>
      <w:r>
        <w:rPr>
          <w:rFonts w:ascii="Times New Roman" w:hAnsi="Times New Roman" w:cs="Times New Roman"/>
          <w:sz w:val="24"/>
          <w:szCs w:val="24"/>
        </w:rPr>
        <w:br w:type="page"/>
      </w:r>
      <w:r>
        <w:tab/>
      </w:r>
    </w:p>
    <w:p w14:paraId="2241D293">
      <w:pPr>
        <w:pStyle w:val="2"/>
        <w:spacing w:after="0" w:line="480" w:lineRule="auto"/>
        <w:jc w:val="center"/>
      </w:pPr>
      <w:bookmarkStart w:id="2" w:name="_Toc215132337"/>
      <w:r>
        <w:t>DEDICATION</w:t>
      </w:r>
      <w:bookmarkEnd w:id="2"/>
    </w:p>
    <w:p w14:paraId="66892501">
      <w:pPr>
        <w:spacing w:line="278"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This research project is dedicated to God Almighty and then, to my lovely and adorable parents Mr. and Mrs. Jonathan Iliya and my grandma Mrs. Kande Iliya for their constant prayers and financial support.</w:t>
      </w:r>
    </w:p>
    <w:p w14:paraId="3DF9F974">
      <w:pPr>
        <w:spacing w:line="278" w:lineRule="auto"/>
        <w:rPr>
          <w:rFonts w:ascii="Times New Roman" w:hAnsi="Times New Roman" w:cs="Times New Roman"/>
          <w:color w:val="000000" w:themeColor="text1"/>
          <w14:textFill>
            <w14:solidFill>
              <w14:schemeClr w14:val="tx1"/>
            </w14:solidFill>
          </w14:textFill>
        </w:rPr>
      </w:pPr>
    </w:p>
    <w:p w14:paraId="39E3B208">
      <w:pPr>
        <w:spacing w:line="278" w:lineRule="auto"/>
        <w:rPr>
          <w:rFonts w:ascii="Times New Roman" w:hAnsi="Times New Roman" w:cs="Times New Roman"/>
          <w:color w:val="000000" w:themeColor="text1"/>
          <w14:textFill>
            <w14:solidFill>
              <w14:schemeClr w14:val="tx1"/>
            </w14:solidFill>
          </w14:textFill>
        </w:rPr>
      </w:pPr>
    </w:p>
    <w:p w14:paraId="6F319D0B">
      <w:pPr>
        <w:spacing w:line="278" w:lineRule="auto"/>
        <w:rPr>
          <w:rFonts w:ascii="Times New Roman" w:hAnsi="Times New Roman" w:cs="Times New Roman"/>
          <w:color w:val="000000" w:themeColor="text1"/>
          <w14:textFill>
            <w14:solidFill>
              <w14:schemeClr w14:val="tx1"/>
            </w14:solidFill>
          </w14:textFill>
        </w:rPr>
      </w:pPr>
    </w:p>
    <w:p w14:paraId="5D629B6A">
      <w:pPr>
        <w:spacing w:line="278" w:lineRule="auto"/>
        <w:rPr>
          <w:rFonts w:ascii="Times New Roman" w:hAnsi="Times New Roman" w:cs="Times New Roman"/>
          <w:color w:val="000000" w:themeColor="text1"/>
          <w14:textFill>
            <w14:solidFill>
              <w14:schemeClr w14:val="tx1"/>
            </w14:solidFill>
          </w14:textFill>
        </w:rPr>
      </w:pPr>
    </w:p>
    <w:p w14:paraId="2AF12B6B">
      <w:pPr>
        <w:spacing w:line="278" w:lineRule="auto"/>
        <w:rPr>
          <w:rFonts w:ascii="Times New Roman" w:hAnsi="Times New Roman" w:cs="Times New Roman"/>
          <w:color w:val="000000" w:themeColor="text1"/>
          <w14:textFill>
            <w14:solidFill>
              <w14:schemeClr w14:val="tx1"/>
            </w14:solidFill>
          </w14:textFill>
        </w:rPr>
      </w:pPr>
    </w:p>
    <w:p w14:paraId="011B6FA8">
      <w:pPr>
        <w:spacing w:line="278" w:lineRule="auto"/>
        <w:rPr>
          <w:rFonts w:ascii="Times New Roman" w:hAnsi="Times New Roman" w:cs="Times New Roman"/>
          <w:color w:val="000000" w:themeColor="text1"/>
          <w14:textFill>
            <w14:solidFill>
              <w14:schemeClr w14:val="tx1"/>
            </w14:solidFill>
          </w14:textFill>
        </w:rPr>
      </w:pPr>
    </w:p>
    <w:p w14:paraId="149733F6">
      <w:pPr>
        <w:spacing w:line="278" w:lineRule="auto"/>
        <w:rPr>
          <w:rFonts w:ascii="Times New Roman" w:hAnsi="Times New Roman" w:cs="Times New Roman"/>
          <w:color w:val="000000" w:themeColor="text1"/>
          <w14:textFill>
            <w14:solidFill>
              <w14:schemeClr w14:val="tx1"/>
            </w14:solidFill>
          </w14:textFill>
        </w:rPr>
      </w:pPr>
    </w:p>
    <w:p w14:paraId="07B11321">
      <w:pPr>
        <w:spacing w:line="278" w:lineRule="auto"/>
        <w:rPr>
          <w:rFonts w:ascii="Times New Roman" w:hAnsi="Times New Roman" w:cs="Times New Roman"/>
          <w:color w:val="000000" w:themeColor="text1"/>
          <w14:textFill>
            <w14:solidFill>
              <w14:schemeClr w14:val="tx1"/>
            </w14:solidFill>
          </w14:textFill>
        </w:rPr>
      </w:pPr>
    </w:p>
    <w:p w14:paraId="2F377ECA">
      <w:pPr>
        <w:spacing w:line="278" w:lineRule="auto"/>
        <w:rPr>
          <w:rFonts w:ascii="Times New Roman" w:hAnsi="Times New Roman" w:cs="Times New Roman"/>
          <w:color w:val="000000" w:themeColor="text1"/>
          <w14:textFill>
            <w14:solidFill>
              <w14:schemeClr w14:val="tx1"/>
            </w14:solidFill>
          </w14:textFill>
        </w:rPr>
      </w:pPr>
    </w:p>
    <w:p w14:paraId="7F07EA80">
      <w:pPr>
        <w:spacing w:line="278" w:lineRule="auto"/>
        <w:rPr>
          <w:rFonts w:ascii="Times New Roman" w:hAnsi="Times New Roman" w:cs="Times New Roman"/>
          <w:color w:val="000000" w:themeColor="text1"/>
          <w14:textFill>
            <w14:solidFill>
              <w14:schemeClr w14:val="tx1"/>
            </w14:solidFill>
          </w14:textFill>
        </w:rPr>
      </w:pPr>
    </w:p>
    <w:p w14:paraId="6DBC3442">
      <w:pPr>
        <w:spacing w:line="278" w:lineRule="auto"/>
        <w:rPr>
          <w:rFonts w:ascii="Times New Roman" w:hAnsi="Times New Roman" w:cs="Times New Roman"/>
          <w:color w:val="000000" w:themeColor="text1"/>
          <w14:textFill>
            <w14:solidFill>
              <w14:schemeClr w14:val="tx1"/>
            </w14:solidFill>
          </w14:textFill>
        </w:rPr>
      </w:pPr>
    </w:p>
    <w:p w14:paraId="682DC508">
      <w:pPr>
        <w:spacing w:line="278" w:lineRule="auto"/>
        <w:rPr>
          <w:rFonts w:ascii="Times New Roman" w:hAnsi="Times New Roman" w:cs="Times New Roman"/>
          <w:color w:val="000000" w:themeColor="text1"/>
          <w14:textFill>
            <w14:solidFill>
              <w14:schemeClr w14:val="tx1"/>
            </w14:solidFill>
          </w14:textFill>
        </w:rPr>
      </w:pPr>
    </w:p>
    <w:p w14:paraId="3EECA3E4">
      <w:pPr>
        <w:spacing w:line="278" w:lineRule="auto"/>
        <w:rPr>
          <w:rFonts w:ascii="Times New Roman" w:hAnsi="Times New Roman" w:cs="Times New Roman"/>
          <w:color w:val="000000" w:themeColor="text1"/>
          <w14:textFill>
            <w14:solidFill>
              <w14:schemeClr w14:val="tx1"/>
            </w14:solidFill>
          </w14:textFill>
        </w:rPr>
      </w:pPr>
    </w:p>
    <w:p w14:paraId="17582F75">
      <w:pPr>
        <w:spacing w:line="278" w:lineRule="auto"/>
        <w:rPr>
          <w:rFonts w:ascii="Times New Roman" w:hAnsi="Times New Roman" w:cs="Times New Roman"/>
          <w:color w:val="000000" w:themeColor="text1"/>
          <w14:textFill>
            <w14:solidFill>
              <w14:schemeClr w14:val="tx1"/>
            </w14:solidFill>
          </w14:textFill>
        </w:rPr>
      </w:pPr>
    </w:p>
    <w:p w14:paraId="2D2155E0">
      <w:pPr>
        <w:spacing w:line="278" w:lineRule="auto"/>
        <w:rPr>
          <w:rFonts w:ascii="Times New Roman" w:hAnsi="Times New Roman" w:cs="Times New Roman"/>
          <w:color w:val="000000" w:themeColor="text1"/>
          <w14:textFill>
            <w14:solidFill>
              <w14:schemeClr w14:val="tx1"/>
            </w14:solidFill>
          </w14:textFill>
        </w:rPr>
      </w:pPr>
    </w:p>
    <w:p w14:paraId="72E838F4">
      <w:pPr>
        <w:spacing w:line="278" w:lineRule="auto"/>
        <w:rPr>
          <w:rFonts w:ascii="Times New Roman" w:hAnsi="Times New Roman" w:cs="Times New Roman"/>
          <w:color w:val="000000" w:themeColor="text1"/>
          <w14:textFill>
            <w14:solidFill>
              <w14:schemeClr w14:val="tx1"/>
            </w14:solidFill>
          </w14:textFill>
        </w:rPr>
      </w:pPr>
    </w:p>
    <w:p w14:paraId="51DDECE3">
      <w:pPr>
        <w:spacing w:line="278" w:lineRule="auto"/>
        <w:rPr>
          <w:rFonts w:ascii="Times New Roman" w:hAnsi="Times New Roman" w:cs="Times New Roman"/>
          <w:color w:val="000000" w:themeColor="text1"/>
          <w14:textFill>
            <w14:solidFill>
              <w14:schemeClr w14:val="tx1"/>
            </w14:solidFill>
          </w14:textFill>
        </w:rPr>
      </w:pPr>
    </w:p>
    <w:p w14:paraId="49D5B13B">
      <w:pPr>
        <w:spacing w:line="278" w:lineRule="auto"/>
        <w:rPr>
          <w:rFonts w:ascii="Times New Roman" w:hAnsi="Times New Roman" w:cs="Times New Roman"/>
          <w:color w:val="000000" w:themeColor="text1"/>
          <w14:textFill>
            <w14:solidFill>
              <w14:schemeClr w14:val="tx1"/>
            </w14:solidFill>
          </w14:textFill>
        </w:rPr>
      </w:pPr>
    </w:p>
    <w:p w14:paraId="25FD0C70">
      <w:pPr>
        <w:spacing w:line="278" w:lineRule="auto"/>
        <w:rPr>
          <w:rFonts w:ascii="Times New Roman" w:hAnsi="Times New Roman" w:cs="Times New Roman"/>
          <w:color w:val="000000" w:themeColor="text1"/>
          <w14:textFill>
            <w14:solidFill>
              <w14:schemeClr w14:val="tx1"/>
            </w14:solidFill>
          </w14:textFill>
        </w:rPr>
      </w:pPr>
    </w:p>
    <w:p w14:paraId="77D2DCA8">
      <w:pPr>
        <w:spacing w:line="278" w:lineRule="auto"/>
        <w:rPr>
          <w:rFonts w:ascii="Times New Roman" w:hAnsi="Times New Roman" w:cs="Times New Roman"/>
          <w:color w:val="000000" w:themeColor="text1"/>
          <w14:textFill>
            <w14:solidFill>
              <w14:schemeClr w14:val="tx1"/>
            </w14:solidFill>
          </w14:textFill>
        </w:rPr>
      </w:pPr>
    </w:p>
    <w:p w14:paraId="6F680D2B">
      <w:pPr>
        <w:spacing w:line="278" w:lineRule="auto"/>
        <w:rPr>
          <w:rFonts w:ascii="Times New Roman" w:hAnsi="Times New Roman" w:cs="Times New Roman"/>
          <w:color w:val="000000" w:themeColor="text1"/>
          <w14:textFill>
            <w14:solidFill>
              <w14:schemeClr w14:val="tx1"/>
            </w14:solidFill>
          </w14:textFill>
        </w:rPr>
      </w:pPr>
    </w:p>
    <w:p w14:paraId="05CE1972">
      <w:pPr>
        <w:spacing w:line="278" w:lineRule="auto"/>
        <w:rPr>
          <w:rFonts w:ascii="Times New Roman" w:hAnsi="Times New Roman" w:cs="Times New Roman"/>
          <w:color w:val="000000" w:themeColor="text1"/>
          <w14:textFill>
            <w14:solidFill>
              <w14:schemeClr w14:val="tx1"/>
            </w14:solidFill>
          </w14:textFill>
        </w:rPr>
      </w:pPr>
    </w:p>
    <w:p w14:paraId="76B31D34">
      <w:pPr>
        <w:pStyle w:val="2"/>
        <w:spacing w:after="0" w:line="480" w:lineRule="auto"/>
        <w:jc w:val="center"/>
      </w:pPr>
      <w:bookmarkStart w:id="3" w:name="_Toc215132338"/>
      <w:r>
        <w:t>ACKNOWLEDGMENTS</w:t>
      </w:r>
      <w:bookmarkEnd w:id="3"/>
    </w:p>
    <w:p w14:paraId="3647B1A4">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All praises and adorations belong to God Almighty, the creator of the universe, for the supports, guidance, opportunity, power and protection throughout the course of this research project. May him alone be glorified. </w:t>
      </w:r>
    </w:p>
    <w:p w14:paraId="1F36BF6D">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 extend my heartfelt gratitude to my supervisor Prof. S.W. Hassan for his guidance and unwavering commitment to ensuring the successful completion of this research. Words alone cannot adequately convey the depth of my gratitude.</w:t>
      </w:r>
    </w:p>
    <w:p w14:paraId="35CDBA16">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I am sincerely grateful to Mallam Nafiu Mohammad who spared his time, supports and tireless effort towards my work as well as grate advices. </w:t>
      </w:r>
    </w:p>
    <w:p w14:paraId="39677933">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I would like to express my profound gratitude to the entire staff of the department of Biochemistry and Molecular Biology Usmanu Danfodiyo University, Sokoto for contributing and helping me throughout my academic journey with their wealth of knowledge. </w:t>
      </w:r>
    </w:p>
    <w:p w14:paraId="2FB909CC">
      <w:pPr>
        <w:spacing w:line="36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I will also like to extend my deepest appreciation to my parents Mr. and Mrs. Jonathan Iliya, for their love, supports, prayers, words of encouragements and constant care.</w:t>
      </w:r>
    </w:p>
    <w:p w14:paraId="33F485C1">
      <w:pPr>
        <w:spacing w:line="36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I am eternally grateful to my siblings, Joy Karom Jonathan and Patience Abyelo Jonathan for their prayers and motivations. I am forever grateful. </w:t>
      </w:r>
    </w:p>
    <w:p w14:paraId="39A39625">
      <w:pPr>
        <w:spacing w:line="36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 my beloved friends on campus, Hope Jerome Sizah and Joy Auta Ibrahim, thank you for everything and the journey so far.</w:t>
      </w:r>
    </w:p>
    <w:p w14:paraId="3BA82BE7">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To my amazing family on campus, Bridget Diba Peter, Sarah Kofoworola Oladapo, Anorld Kaura, Aisha Idris, Promise Yem Yohannah, Peter Idu, Elisha Funom Stephen, Ekele Joy, Lydia Luka. Thank you for making this journey an easy one. I love you all.</w:t>
      </w:r>
    </w:p>
    <w:p w14:paraId="2C249BD9">
      <w:pPr>
        <w:spacing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Lastly, to my very special friend FELIX EBOH BERNARD, thank you for everything you do dear. Words enough cannot describe how grateful I am. I heart you always.  </w:t>
      </w:r>
      <w:r>
        <w:br w:type="page"/>
      </w:r>
    </w:p>
    <w:p w14:paraId="73711A43">
      <w:pPr>
        <w:pStyle w:val="2"/>
        <w:spacing w:after="0" w:line="480" w:lineRule="auto"/>
        <w:jc w:val="center"/>
      </w:pPr>
      <w:bookmarkStart w:id="4" w:name="_Toc215132339"/>
      <w:r>
        <w:t>TABLE OF CONTENTS</w:t>
      </w:r>
      <w:bookmarkEnd w:id="4"/>
    </w:p>
    <w:p w14:paraId="7C7AECCD">
      <w:pPr>
        <w:pStyle w:val="25"/>
        <w:tabs>
          <w:tab w:val="right" w:leader="dot" w:pos="9350"/>
        </w:tabs>
        <w:spacing w:after="0" w:line="360" w:lineRule="auto"/>
        <w:rPr>
          <w:rFonts w:asciiTheme="majorBidi" w:hAnsiTheme="majorBidi" w:eastAsiaTheme="minorEastAsia" w:cstheme="majorBidi"/>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TOC \o "1-3" \h \z \u </w:instrText>
      </w:r>
      <w:r>
        <w:rPr>
          <w:rFonts w:asciiTheme="majorBidi" w:hAnsiTheme="majorBidi" w:cstheme="majorBidi"/>
          <w:sz w:val="24"/>
          <w:szCs w:val="24"/>
        </w:rPr>
        <w:fldChar w:fldCharType="separate"/>
      </w:r>
      <w:r>
        <w:fldChar w:fldCharType="begin"/>
      </w:r>
      <w:r>
        <w:instrText xml:space="preserve"> HYPERLINK \l "_Toc215132335" </w:instrText>
      </w:r>
      <w:r>
        <w:fldChar w:fldCharType="separate"/>
      </w:r>
      <w:r>
        <w:rPr>
          <w:rStyle w:val="18"/>
          <w:rFonts w:asciiTheme="majorBidi" w:hAnsiTheme="majorBidi" w:cstheme="majorBidi"/>
          <w:sz w:val="24"/>
          <w:szCs w:val="24"/>
        </w:rPr>
        <w:t>TITLE PAGE</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_Toc215132335 \h </w:instrText>
      </w:r>
      <w:r>
        <w:rPr>
          <w:rFonts w:asciiTheme="majorBidi" w:hAnsiTheme="majorBidi" w:cstheme="majorBidi"/>
          <w:sz w:val="24"/>
          <w:szCs w:val="24"/>
        </w:rPr>
        <w:fldChar w:fldCharType="separate"/>
      </w:r>
      <w:r>
        <w:rPr>
          <w:rFonts w:asciiTheme="majorBidi" w:hAnsiTheme="majorBidi" w:cstheme="majorBidi"/>
          <w:sz w:val="24"/>
          <w:szCs w:val="24"/>
        </w:rPr>
        <w:t>i</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2DB629F">
      <w:pPr>
        <w:pStyle w:val="25"/>
        <w:tabs>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"_Toc215132336" </w:instrText>
      </w:r>
      <w:r>
        <w:fldChar w:fldCharType="separate"/>
      </w:r>
      <w:r>
        <w:rPr>
          <w:rStyle w:val="18"/>
          <w:rFonts w:asciiTheme="majorBidi" w:hAnsiTheme="majorBidi" w:cstheme="majorBidi"/>
          <w:sz w:val="24"/>
          <w:szCs w:val="24"/>
        </w:rPr>
        <w:t>CERTIFICATION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_Toc215132336 \h </w:instrText>
      </w:r>
      <w:r>
        <w:rPr>
          <w:rFonts w:asciiTheme="majorBidi" w:hAnsiTheme="majorBidi" w:cstheme="majorBidi"/>
          <w:sz w:val="24"/>
          <w:szCs w:val="24"/>
        </w:rPr>
        <w:fldChar w:fldCharType="separate"/>
      </w:r>
      <w:r>
        <w:rPr>
          <w:rFonts w:asciiTheme="majorBidi" w:hAnsiTheme="majorBidi" w:cstheme="majorBidi"/>
          <w:sz w:val="24"/>
          <w:szCs w:val="24"/>
        </w:rPr>
        <w:t>ii</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56321D7">
      <w:pPr>
        <w:pStyle w:val="25"/>
        <w:tabs>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"_Toc215132337" </w:instrText>
      </w:r>
      <w:r>
        <w:fldChar w:fldCharType="separate"/>
      </w:r>
      <w:r>
        <w:rPr>
          <w:rStyle w:val="18"/>
          <w:rFonts w:asciiTheme="majorBidi" w:hAnsiTheme="majorBidi" w:cstheme="majorBidi"/>
          <w:sz w:val="24"/>
          <w:szCs w:val="24"/>
        </w:rPr>
        <w:t>DEDICATION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_Toc215132337 \h </w:instrText>
      </w:r>
      <w:r>
        <w:rPr>
          <w:rFonts w:asciiTheme="majorBidi" w:hAnsiTheme="majorBidi" w:cstheme="majorBidi"/>
          <w:sz w:val="24"/>
          <w:szCs w:val="24"/>
        </w:rPr>
        <w:fldChar w:fldCharType="separate"/>
      </w:r>
      <w:r>
        <w:rPr>
          <w:rFonts w:asciiTheme="majorBidi" w:hAnsiTheme="majorBidi" w:cstheme="majorBidi"/>
          <w:sz w:val="24"/>
          <w:szCs w:val="24"/>
        </w:rPr>
        <w:t>iii</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715F1CC">
      <w:pPr>
        <w:pStyle w:val="25"/>
        <w:tabs>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"_Toc215132338" </w:instrText>
      </w:r>
      <w:r>
        <w:fldChar w:fldCharType="separate"/>
      </w:r>
      <w:r>
        <w:rPr>
          <w:rStyle w:val="18"/>
          <w:rFonts w:asciiTheme="majorBidi" w:hAnsiTheme="majorBidi" w:cstheme="majorBidi"/>
          <w:sz w:val="24"/>
          <w:szCs w:val="24"/>
        </w:rPr>
        <w:t>ACKNOWLEDGMENTS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_Toc215132338 \h </w:instrText>
      </w:r>
      <w:r>
        <w:rPr>
          <w:rFonts w:asciiTheme="majorBidi" w:hAnsiTheme="majorBidi" w:cstheme="majorBidi"/>
          <w:sz w:val="24"/>
          <w:szCs w:val="24"/>
        </w:rPr>
        <w:fldChar w:fldCharType="separate"/>
      </w:r>
      <w:r>
        <w:rPr>
          <w:rFonts w:asciiTheme="majorBidi" w:hAnsiTheme="majorBidi" w:cstheme="majorBidi"/>
          <w:sz w:val="24"/>
          <w:szCs w:val="24"/>
        </w:rPr>
        <w:t>iv</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FE9FDE5">
      <w:pPr>
        <w:pStyle w:val="25"/>
        <w:tabs>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"_Toc215132339" </w:instrText>
      </w:r>
      <w:r>
        <w:fldChar w:fldCharType="separate"/>
      </w:r>
      <w:r>
        <w:rPr>
          <w:rStyle w:val="18"/>
          <w:rFonts w:asciiTheme="majorBidi" w:hAnsiTheme="majorBidi" w:cstheme="majorBidi"/>
          <w:sz w:val="24"/>
          <w:szCs w:val="24"/>
        </w:rPr>
        <w:t>TABLE OF CONTENTS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_Toc215132339 \h </w:instrText>
      </w:r>
      <w:r>
        <w:rPr>
          <w:rFonts w:asciiTheme="majorBidi" w:hAnsiTheme="majorBidi" w:cstheme="majorBidi"/>
          <w:sz w:val="24"/>
          <w:szCs w:val="24"/>
        </w:rPr>
        <w:fldChar w:fldCharType="separate"/>
      </w:r>
      <w:r>
        <w:rPr>
          <w:rFonts w:asciiTheme="majorBidi" w:hAnsiTheme="majorBidi" w:cstheme="majorBidi"/>
          <w:sz w:val="24"/>
          <w:szCs w:val="24"/>
        </w:rPr>
        <w:t>v</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EBE0B6A">
      <w:pPr>
        <w:pStyle w:val="25"/>
        <w:tabs>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"_Toc215132340" </w:instrText>
      </w:r>
      <w:r>
        <w:fldChar w:fldCharType="separate"/>
      </w:r>
      <w:r>
        <w:rPr>
          <w:rStyle w:val="18"/>
          <w:rFonts w:asciiTheme="majorBidi" w:hAnsiTheme="majorBidi" w:cstheme="majorBidi"/>
          <w:sz w:val="24"/>
          <w:szCs w:val="24"/>
        </w:rPr>
        <w:t>LIST OF TABLES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_Toc215132340 \h </w:instrText>
      </w:r>
      <w:r>
        <w:rPr>
          <w:rFonts w:asciiTheme="majorBidi" w:hAnsiTheme="majorBidi" w:cstheme="majorBidi"/>
          <w:sz w:val="24"/>
          <w:szCs w:val="24"/>
        </w:rPr>
        <w:fldChar w:fldCharType="separate"/>
      </w:r>
      <w:r>
        <w:rPr>
          <w:rFonts w:asciiTheme="majorBidi" w:hAnsiTheme="majorBidi" w:cstheme="majorBidi"/>
          <w:sz w:val="24"/>
          <w:szCs w:val="24"/>
        </w:rPr>
        <w:t>vii</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BC8B774">
      <w:pPr>
        <w:pStyle w:val="25"/>
        <w:tabs>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"_Toc215132341" </w:instrText>
      </w:r>
      <w:r>
        <w:fldChar w:fldCharType="separate"/>
      </w:r>
      <w:r>
        <w:rPr>
          <w:rStyle w:val="18"/>
          <w:rFonts w:asciiTheme="majorBidi" w:hAnsiTheme="majorBidi" w:cstheme="majorBidi"/>
          <w:bCs/>
          <w:sz w:val="24"/>
          <w:szCs w:val="24"/>
        </w:rPr>
        <w:t>ABSTRACT</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_Toc215132341 \h </w:instrText>
      </w:r>
      <w:r>
        <w:rPr>
          <w:rFonts w:asciiTheme="majorBidi" w:hAnsiTheme="majorBidi" w:cstheme="majorBidi"/>
          <w:sz w:val="24"/>
          <w:szCs w:val="24"/>
        </w:rPr>
        <w:fldChar w:fldCharType="separate"/>
      </w:r>
      <w:r>
        <w:rPr>
          <w:rFonts w:asciiTheme="majorBidi" w:hAnsiTheme="majorBidi" w:cstheme="majorBidi"/>
          <w:sz w:val="24"/>
          <w:szCs w:val="24"/>
        </w:rPr>
        <w:t>viii</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6D9D86F">
      <w:pPr>
        <w:pStyle w:val="25"/>
        <w:tabs>
          <w:tab w:val="right" w:leader="dot" w:pos="9350"/>
        </w:tabs>
        <w:spacing w:after="0" w:line="360" w:lineRule="auto"/>
        <w:rPr>
          <w:rFonts w:asciiTheme="majorBidi" w:hAnsiTheme="majorBidi" w:eastAsiaTheme="minorEastAsia" w:cstheme="majorBidi"/>
          <w:b/>
          <w:bCs/>
          <w:sz w:val="24"/>
          <w:szCs w:val="24"/>
        </w:rPr>
      </w:pPr>
      <w:r>
        <w:fldChar w:fldCharType="begin"/>
      </w:r>
      <w:r>
        <w:instrText xml:space="preserve"> HYPERLINK \l "_Toc215132342" </w:instrText>
      </w:r>
      <w:r>
        <w:fldChar w:fldCharType="separate"/>
      </w:r>
      <w:r>
        <w:rPr>
          <w:rStyle w:val="18"/>
          <w:rFonts w:eastAsia="Times New Roman" w:asciiTheme="majorBidi" w:hAnsiTheme="majorBidi" w:cstheme="majorBidi"/>
          <w:b/>
          <w:bCs/>
          <w:sz w:val="24"/>
          <w:szCs w:val="24"/>
        </w:rPr>
        <w:t>CHAPTER ONE</w:t>
      </w:r>
      <w:r>
        <w:rPr>
          <w:rStyle w:val="18"/>
          <w:rFonts w:eastAsia="Times New Roman" w:asciiTheme="majorBidi" w:hAnsiTheme="majorBidi" w:cstheme="majorBidi"/>
          <w:b/>
          <w:bCs/>
          <w:sz w:val="24"/>
          <w:szCs w:val="24"/>
        </w:rPr>
        <w:fldChar w:fldCharType="end"/>
      </w:r>
      <w:r>
        <w:rPr>
          <w:rFonts w:asciiTheme="majorBidi" w:hAnsiTheme="majorBidi" w:eastAsiaTheme="minorEastAsia" w:cstheme="majorBidi"/>
          <w:b/>
          <w:bCs/>
          <w:sz w:val="24"/>
          <w:szCs w:val="24"/>
        </w:rPr>
        <w:t xml:space="preserve">: </w:t>
      </w:r>
      <w:r>
        <w:fldChar w:fldCharType="begin"/>
      </w:r>
      <w:r>
        <w:instrText xml:space="preserve"> HYPERLINK \l "_Toc215132343" </w:instrText>
      </w:r>
      <w:r>
        <w:fldChar w:fldCharType="separate"/>
      </w:r>
      <w:r>
        <w:rPr>
          <w:rStyle w:val="18"/>
          <w:rFonts w:eastAsia="Times New Roman" w:asciiTheme="majorBidi" w:hAnsiTheme="majorBidi" w:cstheme="majorBidi"/>
          <w:b/>
          <w:bCs/>
          <w:kern w:val="36"/>
          <w:sz w:val="24"/>
          <w:szCs w:val="24"/>
        </w:rPr>
        <w:t>INTRODUCTION</w:t>
      </w:r>
      <w:r>
        <w:rPr>
          <w:rFonts w:asciiTheme="majorBidi" w:hAnsiTheme="majorBidi" w:cstheme="majorBidi"/>
          <w:b/>
          <w:bCs/>
          <w:sz w:val="24"/>
          <w:szCs w:val="24"/>
        </w:rPr>
        <w:tab/>
      </w:r>
      <w:r>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PAGEREF _Toc215132343 \h </w:instrText>
      </w:r>
      <w:r>
        <w:rPr>
          <w:rFonts w:asciiTheme="majorBidi" w:hAnsiTheme="majorBidi" w:cstheme="majorBidi"/>
          <w:b/>
          <w:bCs/>
          <w:sz w:val="24"/>
          <w:szCs w:val="24"/>
        </w:rPr>
        <w:fldChar w:fldCharType="separate"/>
      </w:r>
      <w:r>
        <w:rPr>
          <w:rFonts w:asciiTheme="majorBidi" w:hAnsiTheme="majorBidi" w:cstheme="majorBidi"/>
          <w:b/>
          <w:bCs/>
          <w:sz w:val="24"/>
          <w:szCs w:val="24"/>
        </w:rPr>
        <w:t>1</w:t>
      </w:r>
      <w:r>
        <w:rPr>
          <w:rFonts w:asciiTheme="majorBidi" w:hAnsiTheme="majorBidi" w:cstheme="majorBidi"/>
          <w:b/>
          <w:bCs/>
          <w:sz w:val="24"/>
          <w:szCs w:val="24"/>
        </w:rPr>
        <w:fldChar w:fldCharType="end"/>
      </w:r>
      <w:r>
        <w:rPr>
          <w:rFonts w:asciiTheme="majorBidi" w:hAnsiTheme="majorBidi" w:cstheme="majorBidi"/>
          <w:b/>
          <w:bCs/>
          <w:sz w:val="24"/>
          <w:szCs w:val="24"/>
        </w:rPr>
        <w:fldChar w:fldCharType="end"/>
      </w:r>
    </w:p>
    <w:p w14:paraId="1E5121DF">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"_Toc215132344" </w:instrText>
      </w:r>
      <w:r>
        <w:fldChar w:fldCharType="separate"/>
      </w:r>
      <w:r>
        <w:rPr>
          <w:rStyle w:val="18"/>
          <w:rFonts w:eastAsia="Times New Roman" w:asciiTheme="majorBidi" w:hAnsiTheme="majorBidi" w:cstheme="majorBidi"/>
          <w:sz w:val="24"/>
          <w:szCs w:val="24"/>
        </w:rPr>
        <w:t>1.1</w:t>
      </w:r>
      <w:r>
        <w:rPr>
          <w:rFonts w:asciiTheme="majorBidi" w:hAnsiTheme="majorBidi" w:eastAsiaTheme="minorEastAsia" w:cstheme="majorBidi"/>
          <w:sz w:val="24"/>
          <w:szCs w:val="24"/>
        </w:rPr>
        <w:tab/>
      </w:r>
      <w:r>
        <w:rPr>
          <w:rStyle w:val="18"/>
          <w:rFonts w:eastAsia="Times New Roman" w:asciiTheme="majorBidi" w:hAnsiTheme="majorBidi" w:cstheme="majorBidi"/>
          <w:sz w:val="24"/>
          <w:szCs w:val="24"/>
        </w:rPr>
        <w:t>Background of the Study</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_Toc215132344 \h </w:instrText>
      </w:r>
      <w:r>
        <w:rPr>
          <w:rFonts w:asciiTheme="majorBidi" w:hAnsiTheme="majorBidi" w:cstheme="majorBidi"/>
          <w:sz w:val="24"/>
          <w:szCs w:val="24"/>
        </w:rPr>
        <w:fldChar w:fldCharType="separate"/>
      </w:r>
      <w:r>
        <w:rPr>
          <w:rFonts w:asciiTheme="majorBidi" w:hAnsiTheme="majorBidi" w:cstheme="majorBidi"/>
          <w:sz w:val="24"/>
          <w:szCs w:val="24"/>
        </w:rPr>
        <w:t>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98D321E">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"_Toc215132345" </w:instrText>
      </w:r>
      <w:r>
        <w:fldChar w:fldCharType="separate"/>
      </w:r>
      <w:r>
        <w:rPr>
          <w:rStyle w:val="18"/>
          <w:rFonts w:eastAsia="Times New Roman" w:asciiTheme="majorBidi" w:hAnsiTheme="majorBidi" w:cstheme="majorBidi"/>
          <w:sz w:val="24"/>
          <w:szCs w:val="24"/>
        </w:rPr>
        <w:t>1.2</w:t>
      </w:r>
      <w:r>
        <w:rPr>
          <w:rFonts w:asciiTheme="majorBidi" w:hAnsiTheme="majorBidi" w:eastAsiaTheme="minorEastAsia" w:cstheme="majorBidi"/>
          <w:sz w:val="24"/>
          <w:szCs w:val="24"/>
        </w:rPr>
        <w:tab/>
      </w:r>
      <w:r>
        <w:rPr>
          <w:rStyle w:val="18"/>
          <w:rFonts w:eastAsia="Times New Roman" w:asciiTheme="majorBidi" w:hAnsiTheme="majorBidi" w:cstheme="majorBidi"/>
          <w:sz w:val="24"/>
          <w:szCs w:val="24"/>
        </w:rPr>
        <w:t>Statement of the Problem</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_Toc215132345 \h </w:instrText>
      </w:r>
      <w:r>
        <w:rPr>
          <w:rFonts w:asciiTheme="majorBidi" w:hAnsiTheme="majorBidi" w:cstheme="majorBidi"/>
          <w:sz w:val="24"/>
          <w:szCs w:val="24"/>
        </w:rPr>
        <w:fldChar w:fldCharType="separate"/>
      </w:r>
      <w:r>
        <w:rPr>
          <w:rFonts w:asciiTheme="majorBidi" w:hAnsiTheme="majorBidi" w:cstheme="majorBidi"/>
          <w:sz w:val="24"/>
          <w:szCs w:val="24"/>
        </w:rPr>
        <w:t>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8C87507">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"_Toc215132346" </w:instrText>
      </w:r>
      <w:r>
        <w:fldChar w:fldCharType="separate"/>
      </w:r>
      <w:r>
        <w:rPr>
          <w:rStyle w:val="18"/>
          <w:rFonts w:eastAsia="Times New Roman" w:asciiTheme="majorBidi" w:hAnsiTheme="majorBidi" w:cstheme="majorBidi"/>
          <w:sz w:val="24"/>
          <w:szCs w:val="24"/>
        </w:rPr>
        <w:t>1.3</w:t>
      </w:r>
      <w:r>
        <w:rPr>
          <w:rFonts w:asciiTheme="majorBidi" w:hAnsiTheme="majorBidi" w:eastAsiaTheme="minorEastAsia" w:cstheme="majorBidi"/>
          <w:sz w:val="24"/>
          <w:szCs w:val="24"/>
        </w:rPr>
        <w:tab/>
      </w:r>
      <w:r>
        <w:rPr>
          <w:rStyle w:val="18"/>
          <w:rFonts w:eastAsia="Times New Roman" w:asciiTheme="majorBidi" w:hAnsiTheme="majorBidi" w:cstheme="majorBidi"/>
          <w:sz w:val="24"/>
          <w:szCs w:val="24"/>
        </w:rPr>
        <w:t>Objectives of the Study</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_Toc215132346 \h </w:instrText>
      </w:r>
      <w:r>
        <w:rPr>
          <w:rFonts w:asciiTheme="majorBidi" w:hAnsiTheme="majorBidi" w:cstheme="majorBidi"/>
          <w:sz w:val="24"/>
          <w:szCs w:val="24"/>
        </w:rPr>
        <w:fldChar w:fldCharType="separate"/>
      </w:r>
      <w:r>
        <w:rPr>
          <w:rFonts w:asciiTheme="majorBidi" w:hAnsiTheme="majorBidi" w:cstheme="majorBidi"/>
          <w:sz w:val="24"/>
          <w:szCs w:val="24"/>
        </w:rPr>
        <w:t>3</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D3E5600">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"_Toc215132347" </w:instrText>
      </w:r>
      <w:r>
        <w:fldChar w:fldCharType="separate"/>
      </w:r>
      <w:r>
        <w:rPr>
          <w:rStyle w:val="18"/>
          <w:rFonts w:eastAsia="Times New Roman" w:asciiTheme="majorBidi" w:hAnsiTheme="majorBidi" w:cstheme="majorBidi"/>
          <w:sz w:val="24"/>
          <w:szCs w:val="24"/>
        </w:rPr>
        <w:t>1.4</w:t>
      </w:r>
      <w:r>
        <w:rPr>
          <w:rFonts w:asciiTheme="majorBidi" w:hAnsiTheme="majorBidi" w:eastAsiaTheme="minorEastAsia" w:cstheme="majorBidi"/>
          <w:sz w:val="24"/>
          <w:szCs w:val="24"/>
        </w:rPr>
        <w:tab/>
      </w:r>
      <w:r>
        <w:rPr>
          <w:rStyle w:val="18"/>
          <w:rFonts w:eastAsia="Times New Roman" w:asciiTheme="majorBidi" w:hAnsiTheme="majorBidi" w:cstheme="majorBidi"/>
          <w:sz w:val="24"/>
          <w:szCs w:val="24"/>
        </w:rPr>
        <w:t>Research Questions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_Toc215132347 \h </w:instrText>
      </w:r>
      <w:r>
        <w:rPr>
          <w:rFonts w:asciiTheme="majorBidi" w:hAnsiTheme="majorBidi" w:cstheme="majorBidi"/>
          <w:sz w:val="24"/>
          <w:szCs w:val="24"/>
        </w:rPr>
        <w:fldChar w:fldCharType="separate"/>
      </w:r>
      <w:r>
        <w:rPr>
          <w:rFonts w:asciiTheme="majorBidi" w:hAnsiTheme="majorBidi" w:cstheme="majorBidi"/>
          <w:sz w:val="24"/>
          <w:szCs w:val="24"/>
        </w:rPr>
        <w:t>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B760A47">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"_Toc215132348" </w:instrText>
      </w:r>
      <w:r>
        <w:fldChar w:fldCharType="separate"/>
      </w:r>
      <w:r>
        <w:rPr>
          <w:rStyle w:val="18"/>
          <w:rFonts w:eastAsia="Times New Roman" w:asciiTheme="majorBidi" w:hAnsiTheme="majorBidi" w:cstheme="majorBidi"/>
          <w:sz w:val="24"/>
          <w:szCs w:val="24"/>
        </w:rPr>
        <w:t>1.5</w:t>
      </w:r>
      <w:r>
        <w:rPr>
          <w:rFonts w:asciiTheme="majorBidi" w:hAnsiTheme="majorBidi" w:eastAsiaTheme="minorEastAsia" w:cstheme="majorBidi"/>
          <w:sz w:val="24"/>
          <w:szCs w:val="24"/>
        </w:rPr>
        <w:tab/>
      </w:r>
      <w:r>
        <w:rPr>
          <w:rStyle w:val="18"/>
          <w:rFonts w:eastAsia="Times New Roman" w:asciiTheme="majorBidi" w:hAnsiTheme="majorBidi" w:cstheme="majorBidi"/>
          <w:sz w:val="24"/>
          <w:szCs w:val="24"/>
        </w:rPr>
        <w:t>Significance of the Study</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_Toc215132348 \h </w:instrText>
      </w:r>
      <w:r>
        <w:rPr>
          <w:rFonts w:asciiTheme="majorBidi" w:hAnsiTheme="majorBidi" w:cstheme="majorBidi"/>
          <w:sz w:val="24"/>
          <w:szCs w:val="24"/>
        </w:rPr>
        <w:fldChar w:fldCharType="separate"/>
      </w:r>
      <w:r>
        <w:rPr>
          <w:rFonts w:asciiTheme="majorBidi" w:hAnsiTheme="majorBidi" w:cstheme="majorBidi"/>
          <w:sz w:val="24"/>
          <w:szCs w:val="24"/>
        </w:rPr>
        <w:t>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A751C30">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"_Toc215132349" </w:instrText>
      </w:r>
      <w:r>
        <w:fldChar w:fldCharType="separate"/>
      </w:r>
      <w:r>
        <w:rPr>
          <w:rStyle w:val="18"/>
          <w:rFonts w:eastAsia="Times New Roman" w:asciiTheme="majorBidi" w:hAnsiTheme="majorBidi" w:cstheme="majorBidi"/>
          <w:sz w:val="24"/>
          <w:szCs w:val="24"/>
        </w:rPr>
        <w:t>1.6</w:t>
      </w:r>
      <w:r>
        <w:rPr>
          <w:rFonts w:asciiTheme="majorBidi" w:hAnsiTheme="majorBidi" w:eastAsiaTheme="minorEastAsia" w:cstheme="majorBidi"/>
          <w:sz w:val="24"/>
          <w:szCs w:val="24"/>
        </w:rPr>
        <w:tab/>
      </w:r>
      <w:r>
        <w:rPr>
          <w:rStyle w:val="18"/>
          <w:rFonts w:eastAsia="Times New Roman" w:asciiTheme="majorBidi" w:hAnsiTheme="majorBidi" w:cstheme="majorBidi"/>
          <w:sz w:val="24"/>
          <w:szCs w:val="24"/>
        </w:rPr>
        <w:t>Scope and Limitations of the Study</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_Toc215132349 \h </w:instrText>
      </w:r>
      <w:r>
        <w:rPr>
          <w:rFonts w:asciiTheme="majorBidi" w:hAnsiTheme="majorBidi" w:cstheme="majorBidi"/>
          <w:sz w:val="24"/>
          <w:szCs w:val="24"/>
        </w:rPr>
        <w:fldChar w:fldCharType="separate"/>
      </w:r>
      <w:r>
        <w:rPr>
          <w:rFonts w:asciiTheme="majorBidi" w:hAnsiTheme="majorBidi" w:cstheme="majorBidi"/>
          <w:sz w:val="24"/>
          <w:szCs w:val="24"/>
        </w:rPr>
        <w:t>5</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9C72179">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"_Toc215132350" </w:instrText>
      </w:r>
      <w:r>
        <w:fldChar w:fldCharType="separate"/>
      </w:r>
      <w:r>
        <w:rPr>
          <w:rStyle w:val="18"/>
          <w:rFonts w:asciiTheme="majorBidi" w:hAnsiTheme="majorBidi" w:cstheme="majorBidi"/>
          <w:sz w:val="24"/>
          <w:szCs w:val="24"/>
        </w:rPr>
        <w:t>1.7</w:t>
      </w:r>
      <w:r>
        <w:rPr>
          <w:rFonts w:asciiTheme="majorBidi" w:hAnsiTheme="majorBidi" w:eastAsiaTheme="minorEastAsia" w:cstheme="majorBidi"/>
          <w:sz w:val="24"/>
          <w:szCs w:val="24"/>
        </w:rPr>
        <w:tab/>
      </w:r>
      <w:r>
        <w:rPr>
          <w:rStyle w:val="18"/>
          <w:rFonts w:asciiTheme="majorBidi" w:hAnsiTheme="majorBidi" w:cstheme="majorBidi"/>
          <w:sz w:val="24"/>
          <w:szCs w:val="24"/>
        </w:rPr>
        <w:t>Justification of the Study</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_Toc215132350 \h </w:instrText>
      </w:r>
      <w:r>
        <w:rPr>
          <w:rFonts w:asciiTheme="majorBidi" w:hAnsiTheme="majorBidi" w:cstheme="majorBidi"/>
          <w:sz w:val="24"/>
          <w:szCs w:val="24"/>
        </w:rPr>
        <w:fldChar w:fldCharType="separate"/>
      </w:r>
      <w:r>
        <w:rPr>
          <w:rFonts w:asciiTheme="majorBidi" w:hAnsiTheme="majorBidi" w:cstheme="majorBidi"/>
          <w:sz w:val="24"/>
          <w:szCs w:val="24"/>
        </w:rPr>
        <w:t>6</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DFD0070">
      <w:pPr>
        <w:pStyle w:val="25"/>
        <w:tabs>
          <w:tab w:val="right" w:leader="dot" w:pos="9350"/>
        </w:tabs>
        <w:spacing w:after="0" w:line="360" w:lineRule="auto"/>
        <w:rPr>
          <w:rFonts w:asciiTheme="majorBidi" w:hAnsiTheme="majorBidi" w:eastAsiaTheme="minorEastAsia" w:cstheme="majorBidi"/>
          <w:b/>
          <w:bCs/>
          <w:sz w:val="24"/>
          <w:szCs w:val="24"/>
        </w:rPr>
      </w:pPr>
      <w:r>
        <w:fldChar w:fldCharType="begin"/>
      </w:r>
      <w:r>
        <w:instrText xml:space="preserve"> HYPERLINK \l "_Toc215132351" </w:instrText>
      </w:r>
      <w:r>
        <w:fldChar w:fldCharType="separate"/>
      </w:r>
      <w:r>
        <w:rPr>
          <w:rStyle w:val="18"/>
          <w:rFonts w:asciiTheme="majorBidi" w:hAnsiTheme="majorBidi" w:cstheme="majorBidi"/>
          <w:b/>
          <w:bCs/>
          <w:sz w:val="24"/>
          <w:szCs w:val="24"/>
        </w:rPr>
        <w:t>CHAPTER TWO</w:t>
      </w:r>
      <w:r>
        <w:rPr>
          <w:rStyle w:val="18"/>
          <w:rFonts w:asciiTheme="majorBidi" w:hAnsiTheme="majorBidi" w:cstheme="majorBidi"/>
          <w:b/>
          <w:bCs/>
          <w:sz w:val="24"/>
          <w:szCs w:val="24"/>
        </w:rPr>
        <w:fldChar w:fldCharType="end"/>
      </w:r>
      <w:r>
        <w:rPr>
          <w:rFonts w:eastAsiaTheme="minorEastAsia"/>
          <w:b/>
          <w:bCs/>
        </w:rPr>
        <w:t xml:space="preserve">: </w:t>
      </w:r>
      <w:r>
        <w:fldChar w:fldCharType="begin"/>
      </w:r>
      <w:r>
        <w:instrText xml:space="preserve"> HYPERLINK \l "_Toc215132352" </w:instrText>
      </w:r>
      <w:r>
        <w:fldChar w:fldCharType="separate"/>
      </w:r>
      <w:r>
        <w:rPr>
          <w:rStyle w:val="18"/>
          <w:rFonts w:asciiTheme="majorBidi" w:hAnsiTheme="majorBidi" w:cstheme="majorBidi"/>
          <w:b/>
          <w:bCs/>
          <w:sz w:val="24"/>
          <w:szCs w:val="24"/>
        </w:rPr>
        <w:t>LITERATURE REVIEW</w:t>
      </w:r>
      <w:r>
        <w:rPr>
          <w:rFonts w:asciiTheme="majorBidi" w:hAnsiTheme="majorBidi" w:cstheme="majorBidi"/>
          <w:b/>
          <w:bCs/>
          <w:sz w:val="24"/>
          <w:szCs w:val="24"/>
        </w:rPr>
        <w:tab/>
      </w:r>
      <w:r>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PAGEREF _Toc215132352 \h </w:instrText>
      </w:r>
      <w:r>
        <w:rPr>
          <w:rFonts w:asciiTheme="majorBidi" w:hAnsiTheme="majorBidi" w:cstheme="majorBidi"/>
          <w:b/>
          <w:bCs/>
          <w:sz w:val="24"/>
          <w:szCs w:val="24"/>
        </w:rPr>
        <w:fldChar w:fldCharType="separate"/>
      </w:r>
      <w:r>
        <w:rPr>
          <w:rFonts w:asciiTheme="majorBidi" w:hAnsiTheme="majorBidi" w:cstheme="majorBidi"/>
          <w:b/>
          <w:bCs/>
          <w:sz w:val="24"/>
          <w:szCs w:val="24"/>
        </w:rPr>
        <w:t>8</w:t>
      </w:r>
      <w:r>
        <w:rPr>
          <w:rFonts w:asciiTheme="majorBidi" w:hAnsiTheme="majorBidi" w:cstheme="majorBidi"/>
          <w:b/>
          <w:bCs/>
          <w:sz w:val="24"/>
          <w:szCs w:val="24"/>
        </w:rPr>
        <w:fldChar w:fldCharType="end"/>
      </w:r>
      <w:r>
        <w:rPr>
          <w:rFonts w:asciiTheme="majorBidi" w:hAnsiTheme="majorBidi" w:cstheme="majorBidi"/>
          <w:b/>
          <w:bCs/>
          <w:sz w:val="24"/>
          <w:szCs w:val="24"/>
        </w:rPr>
        <w:fldChar w:fldCharType="end"/>
      </w:r>
    </w:p>
    <w:p w14:paraId="0E069D23">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"_Toc215132353" </w:instrText>
      </w:r>
      <w:r>
        <w:fldChar w:fldCharType="separate"/>
      </w:r>
      <w:r>
        <w:rPr>
          <w:rStyle w:val="18"/>
          <w:rFonts w:asciiTheme="majorBidi" w:hAnsiTheme="majorBidi" w:cstheme="majorBidi"/>
          <w:sz w:val="24"/>
          <w:szCs w:val="24"/>
        </w:rPr>
        <w:t>2.1</w:t>
      </w:r>
      <w:r>
        <w:rPr>
          <w:rFonts w:asciiTheme="majorBidi" w:hAnsiTheme="majorBidi" w:eastAsiaTheme="minorEastAsia" w:cstheme="majorBidi"/>
          <w:sz w:val="24"/>
          <w:szCs w:val="24"/>
        </w:rPr>
        <w:tab/>
      </w:r>
      <w:r>
        <w:rPr>
          <w:rStyle w:val="18"/>
          <w:rFonts w:asciiTheme="majorBidi" w:hAnsiTheme="majorBidi" w:cstheme="majorBidi"/>
          <w:sz w:val="24"/>
          <w:szCs w:val="24"/>
        </w:rPr>
        <w:t>Concept of Antibacterial Agents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_Toc215132353 \h </w:instrText>
      </w:r>
      <w:r>
        <w:rPr>
          <w:rFonts w:asciiTheme="majorBidi" w:hAnsiTheme="majorBidi" w:cstheme="majorBidi"/>
          <w:sz w:val="24"/>
          <w:szCs w:val="24"/>
        </w:rPr>
        <w:fldChar w:fldCharType="separate"/>
      </w:r>
      <w:r>
        <w:rPr>
          <w:rFonts w:asciiTheme="majorBidi" w:hAnsiTheme="majorBidi" w:cstheme="majorBidi"/>
          <w:sz w:val="24"/>
          <w:szCs w:val="24"/>
        </w:rPr>
        <w:t>8</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EC6F007">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"_Toc215132354" </w:instrText>
      </w:r>
      <w:r>
        <w:fldChar w:fldCharType="separate"/>
      </w:r>
      <w:r>
        <w:rPr>
          <w:rStyle w:val="18"/>
          <w:rFonts w:asciiTheme="majorBidi" w:hAnsiTheme="majorBidi" w:cstheme="majorBidi"/>
          <w:sz w:val="24"/>
          <w:szCs w:val="24"/>
        </w:rPr>
        <w:t>2.2</w:t>
      </w:r>
      <w:r>
        <w:rPr>
          <w:rFonts w:asciiTheme="majorBidi" w:hAnsiTheme="majorBidi" w:eastAsiaTheme="minorEastAsia" w:cstheme="majorBidi"/>
          <w:sz w:val="24"/>
          <w:szCs w:val="24"/>
        </w:rPr>
        <w:tab/>
      </w:r>
      <w:r>
        <w:rPr>
          <w:rStyle w:val="18"/>
          <w:rFonts w:asciiTheme="majorBidi" w:hAnsiTheme="majorBidi" w:cstheme="majorBidi"/>
          <w:sz w:val="24"/>
          <w:szCs w:val="24"/>
        </w:rPr>
        <w:t>Antimicrobial Resistance and Global Health</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_Toc215132354 \h </w:instrText>
      </w:r>
      <w:r>
        <w:rPr>
          <w:rFonts w:asciiTheme="majorBidi" w:hAnsiTheme="majorBidi" w:cstheme="majorBidi"/>
          <w:sz w:val="24"/>
          <w:szCs w:val="24"/>
        </w:rPr>
        <w:fldChar w:fldCharType="separate"/>
      </w:r>
      <w:r>
        <w:rPr>
          <w:rFonts w:asciiTheme="majorBidi" w:hAnsiTheme="majorBidi" w:cstheme="majorBidi"/>
          <w:sz w:val="24"/>
          <w:szCs w:val="24"/>
        </w:rPr>
        <w:t>9</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0F30BBF">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"_Toc215132355" </w:instrText>
      </w:r>
      <w:r>
        <w:fldChar w:fldCharType="separate"/>
      </w:r>
      <w:r>
        <w:rPr>
          <w:rStyle w:val="18"/>
          <w:rFonts w:asciiTheme="majorBidi" w:hAnsiTheme="majorBidi" w:cstheme="majorBidi"/>
          <w:sz w:val="24"/>
          <w:szCs w:val="24"/>
        </w:rPr>
        <w:t>2.3</w:t>
      </w:r>
      <w:r>
        <w:rPr>
          <w:rFonts w:asciiTheme="majorBidi" w:hAnsiTheme="majorBidi" w:eastAsiaTheme="minorEastAsia" w:cstheme="majorBidi"/>
          <w:sz w:val="24"/>
          <w:szCs w:val="24"/>
        </w:rPr>
        <w:tab/>
      </w:r>
      <w:r>
        <w:rPr>
          <w:rStyle w:val="18"/>
          <w:rFonts w:asciiTheme="majorBidi" w:hAnsiTheme="majorBidi" w:cstheme="majorBidi"/>
          <w:sz w:val="24"/>
          <w:szCs w:val="24"/>
        </w:rPr>
        <w:t>Medicinal Plants as Sources of Antibacterial Compounds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_Toc215132355 \h </w:instrText>
      </w:r>
      <w:r>
        <w:rPr>
          <w:rFonts w:asciiTheme="majorBidi" w:hAnsiTheme="majorBidi" w:cstheme="majorBidi"/>
          <w:sz w:val="24"/>
          <w:szCs w:val="24"/>
        </w:rPr>
        <w:fldChar w:fldCharType="separate"/>
      </w:r>
      <w:r>
        <w:rPr>
          <w:rFonts w:asciiTheme="majorBidi" w:hAnsiTheme="majorBidi" w:cstheme="majorBidi"/>
          <w:sz w:val="24"/>
          <w:szCs w:val="24"/>
        </w:rPr>
        <w:t>10</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71651A4">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"_Toc215132356" </w:instrText>
      </w:r>
      <w:r>
        <w:fldChar w:fldCharType="separate"/>
      </w:r>
      <w:r>
        <w:rPr>
          <w:rStyle w:val="18"/>
          <w:rFonts w:asciiTheme="majorBidi" w:hAnsiTheme="majorBidi" w:cstheme="majorBidi"/>
          <w:sz w:val="24"/>
          <w:szCs w:val="24"/>
        </w:rPr>
        <w:t>2.4</w:t>
      </w:r>
      <w:r>
        <w:rPr>
          <w:rFonts w:asciiTheme="majorBidi" w:hAnsiTheme="majorBidi" w:eastAsiaTheme="minorEastAsia" w:cstheme="majorBidi"/>
          <w:sz w:val="24"/>
          <w:szCs w:val="24"/>
        </w:rPr>
        <w:tab/>
      </w:r>
      <w:r>
        <w:rPr>
          <w:rStyle w:val="18"/>
          <w:rFonts w:asciiTheme="majorBidi" w:hAnsiTheme="majorBidi" w:cstheme="majorBidi"/>
          <w:i/>
          <w:iCs/>
          <w:sz w:val="24"/>
          <w:szCs w:val="24"/>
        </w:rPr>
        <w:t>Boscia</w:t>
      </w:r>
      <w:r>
        <w:rPr>
          <w:rStyle w:val="18"/>
          <w:rFonts w:asciiTheme="majorBidi" w:hAnsiTheme="majorBidi" w:cstheme="majorBidi"/>
          <w:sz w:val="24"/>
          <w:szCs w:val="24"/>
        </w:rPr>
        <w:t xml:space="preserve"> </w:t>
      </w:r>
      <w:r>
        <w:rPr>
          <w:rStyle w:val="18"/>
          <w:rFonts w:asciiTheme="majorBidi" w:hAnsiTheme="majorBidi" w:cstheme="majorBidi"/>
          <w:i/>
          <w:iCs/>
          <w:sz w:val="24"/>
          <w:szCs w:val="24"/>
        </w:rPr>
        <w:t>angustifolia</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_Toc215132356 \h </w:instrText>
      </w:r>
      <w:r>
        <w:rPr>
          <w:rFonts w:asciiTheme="majorBidi" w:hAnsiTheme="majorBidi" w:cstheme="majorBidi"/>
          <w:sz w:val="24"/>
          <w:szCs w:val="24"/>
        </w:rPr>
        <w:fldChar w:fldCharType="separate"/>
      </w:r>
      <w:r>
        <w:rPr>
          <w:rFonts w:asciiTheme="majorBidi" w:hAnsiTheme="majorBidi" w:cstheme="majorBidi"/>
          <w:sz w:val="24"/>
          <w:szCs w:val="24"/>
        </w:rPr>
        <w:t>11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E46BD59">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"_Toc215132357" </w:instrText>
      </w:r>
      <w:r>
        <w:fldChar w:fldCharType="separate"/>
      </w:r>
      <w:r>
        <w:rPr>
          <w:rStyle w:val="18"/>
          <w:rFonts w:asciiTheme="majorBidi" w:hAnsiTheme="majorBidi" w:cstheme="majorBidi"/>
          <w:sz w:val="24"/>
          <w:szCs w:val="24"/>
        </w:rPr>
        <w:t>2.5</w:t>
      </w:r>
      <w:r>
        <w:rPr>
          <w:rFonts w:asciiTheme="majorBidi" w:hAnsiTheme="majorBidi" w:eastAsiaTheme="minorEastAsia" w:cstheme="majorBidi"/>
          <w:sz w:val="24"/>
          <w:szCs w:val="24"/>
        </w:rPr>
        <w:tab/>
      </w:r>
      <w:r>
        <w:rPr>
          <w:rStyle w:val="18"/>
          <w:rFonts w:asciiTheme="majorBidi" w:hAnsiTheme="majorBidi" w:cstheme="majorBidi"/>
          <w:sz w:val="24"/>
          <w:szCs w:val="24"/>
        </w:rPr>
        <w:t>Antibacterial Mechanisms of Plant Extracts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_Toc215132357 \h </w:instrText>
      </w:r>
      <w:r>
        <w:rPr>
          <w:rFonts w:asciiTheme="majorBidi" w:hAnsiTheme="majorBidi" w:cstheme="majorBidi"/>
          <w:sz w:val="24"/>
          <w:szCs w:val="24"/>
        </w:rPr>
        <w:fldChar w:fldCharType="separate"/>
      </w:r>
      <w:r>
        <w:rPr>
          <w:rFonts w:asciiTheme="majorBidi" w:hAnsiTheme="majorBidi" w:cstheme="majorBidi"/>
          <w:sz w:val="24"/>
          <w:szCs w:val="24"/>
        </w:rPr>
        <w:t>12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ADABEB9">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"_Toc215132358" </w:instrText>
      </w:r>
      <w:r>
        <w:fldChar w:fldCharType="separate"/>
      </w:r>
      <w:r>
        <w:rPr>
          <w:rStyle w:val="18"/>
          <w:rFonts w:asciiTheme="majorBidi" w:hAnsiTheme="majorBidi" w:cstheme="majorBidi"/>
          <w:sz w:val="24"/>
          <w:szCs w:val="24"/>
        </w:rPr>
        <w:t>2.6</w:t>
      </w:r>
      <w:r>
        <w:rPr>
          <w:rFonts w:asciiTheme="majorBidi" w:hAnsiTheme="majorBidi" w:eastAsiaTheme="minorEastAsia" w:cstheme="majorBidi"/>
          <w:sz w:val="24"/>
          <w:szCs w:val="24"/>
        </w:rPr>
        <w:tab/>
      </w:r>
      <w:r>
        <w:rPr>
          <w:rStyle w:val="18"/>
          <w:rFonts w:asciiTheme="majorBidi" w:hAnsiTheme="majorBidi" w:cstheme="majorBidi"/>
          <w:sz w:val="24"/>
          <w:szCs w:val="24"/>
        </w:rPr>
        <w:t>Knowledge Gap and Research Justification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_Toc215132358 \h </w:instrText>
      </w:r>
      <w:r>
        <w:rPr>
          <w:rFonts w:asciiTheme="majorBidi" w:hAnsiTheme="majorBidi" w:cstheme="majorBidi"/>
          <w:sz w:val="24"/>
          <w:szCs w:val="24"/>
        </w:rPr>
        <w:fldChar w:fldCharType="separate"/>
      </w:r>
      <w:r>
        <w:rPr>
          <w:rFonts w:asciiTheme="majorBidi" w:hAnsiTheme="majorBidi" w:cstheme="majorBidi"/>
          <w:sz w:val="24"/>
          <w:szCs w:val="24"/>
        </w:rPr>
        <w:t>13</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52BA8904">
      <w:pPr>
        <w:pStyle w:val="25"/>
        <w:tabs>
          <w:tab w:val="right" w:leader="dot" w:pos="9350"/>
        </w:tabs>
        <w:spacing w:after="0" w:line="360" w:lineRule="auto"/>
        <w:rPr>
          <w:rFonts w:asciiTheme="majorBidi" w:hAnsiTheme="majorBidi" w:eastAsiaTheme="minorEastAsia" w:cstheme="majorBidi"/>
          <w:b/>
          <w:bCs/>
          <w:sz w:val="24"/>
          <w:szCs w:val="24"/>
        </w:rPr>
      </w:pPr>
      <w:r>
        <w:fldChar w:fldCharType="begin"/>
      </w:r>
      <w:r>
        <w:instrText xml:space="preserve"> HYPERLINK \l "_Toc215132359" </w:instrText>
      </w:r>
      <w:r>
        <w:fldChar w:fldCharType="separate"/>
      </w:r>
      <w:r>
        <w:rPr>
          <w:rStyle w:val="18"/>
          <w:rFonts w:eastAsia="Times New Roman" w:asciiTheme="majorBidi" w:hAnsiTheme="majorBidi" w:cstheme="majorBidi"/>
          <w:b/>
          <w:bCs/>
          <w:sz w:val="24"/>
          <w:szCs w:val="24"/>
        </w:rPr>
        <w:t>CHAPTER THREE</w:t>
      </w:r>
      <w:r>
        <w:rPr>
          <w:rStyle w:val="18"/>
          <w:rFonts w:eastAsia="Times New Roman" w:asciiTheme="majorBidi" w:hAnsiTheme="majorBidi" w:cstheme="majorBidi"/>
          <w:b/>
          <w:bCs/>
          <w:sz w:val="24"/>
          <w:szCs w:val="24"/>
        </w:rPr>
        <w:fldChar w:fldCharType="end"/>
      </w:r>
      <w:r>
        <w:rPr>
          <w:rFonts w:asciiTheme="majorBidi" w:hAnsiTheme="majorBidi" w:eastAsiaTheme="minorEastAsia" w:cstheme="majorBidi"/>
          <w:b/>
          <w:bCs/>
          <w:sz w:val="24"/>
          <w:szCs w:val="24"/>
        </w:rPr>
        <w:t xml:space="preserve">: </w:t>
      </w:r>
      <w:r>
        <w:fldChar w:fldCharType="begin"/>
      </w:r>
      <w:r>
        <w:instrText xml:space="preserve"> HYPERLINK \l "_Toc215132360" </w:instrText>
      </w:r>
      <w:r>
        <w:fldChar w:fldCharType="separate"/>
      </w:r>
      <w:r>
        <w:rPr>
          <w:rStyle w:val="18"/>
          <w:rFonts w:eastAsia="Times New Roman" w:asciiTheme="majorBidi" w:hAnsiTheme="majorBidi" w:cstheme="majorBidi"/>
          <w:b/>
          <w:bCs/>
          <w:kern w:val="36"/>
          <w:sz w:val="24"/>
          <w:szCs w:val="24"/>
        </w:rPr>
        <w:t>RESEARCH METHODOLOGY</w:t>
      </w:r>
      <w:r>
        <w:rPr>
          <w:rFonts w:asciiTheme="majorBidi" w:hAnsiTheme="majorBidi" w:cstheme="majorBidi"/>
          <w:b/>
          <w:bCs/>
          <w:sz w:val="24"/>
          <w:szCs w:val="24"/>
        </w:rPr>
        <w:tab/>
      </w:r>
      <w:r>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PAGEREF _Toc215132360 \h </w:instrText>
      </w:r>
      <w:r>
        <w:rPr>
          <w:rFonts w:asciiTheme="majorBidi" w:hAnsiTheme="majorBidi" w:cstheme="majorBidi"/>
          <w:b/>
          <w:bCs/>
          <w:sz w:val="24"/>
          <w:szCs w:val="24"/>
        </w:rPr>
        <w:fldChar w:fldCharType="separate"/>
      </w:r>
      <w:r>
        <w:rPr>
          <w:rFonts w:asciiTheme="majorBidi" w:hAnsiTheme="majorBidi" w:cstheme="majorBidi"/>
          <w:b/>
          <w:bCs/>
          <w:sz w:val="24"/>
          <w:szCs w:val="24"/>
        </w:rPr>
        <w:t>15</w:t>
      </w:r>
      <w:r>
        <w:rPr>
          <w:rFonts w:asciiTheme="majorBidi" w:hAnsiTheme="majorBidi" w:cstheme="majorBidi"/>
          <w:b/>
          <w:bCs/>
          <w:sz w:val="24"/>
          <w:szCs w:val="24"/>
        </w:rPr>
        <w:fldChar w:fldCharType="end"/>
      </w:r>
      <w:r>
        <w:rPr>
          <w:rFonts w:asciiTheme="majorBidi" w:hAnsiTheme="majorBidi" w:cstheme="majorBidi"/>
          <w:b/>
          <w:bCs/>
          <w:sz w:val="24"/>
          <w:szCs w:val="24"/>
        </w:rPr>
        <w:fldChar w:fldCharType="end"/>
      </w:r>
    </w:p>
    <w:p w14:paraId="592741E2">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"_Toc215132361" </w:instrText>
      </w:r>
      <w:r>
        <w:fldChar w:fldCharType="separate"/>
      </w:r>
      <w:r>
        <w:rPr>
          <w:rStyle w:val="18"/>
          <w:rFonts w:eastAsia="Times New Roman" w:asciiTheme="majorBidi" w:hAnsiTheme="majorBidi" w:cstheme="majorBidi"/>
          <w:sz w:val="24"/>
          <w:szCs w:val="24"/>
        </w:rPr>
        <w:t>3.1</w:t>
      </w:r>
      <w:r>
        <w:rPr>
          <w:rFonts w:asciiTheme="majorBidi" w:hAnsiTheme="majorBidi" w:eastAsiaTheme="minorEastAsia" w:cstheme="majorBidi"/>
          <w:sz w:val="24"/>
          <w:szCs w:val="24"/>
        </w:rPr>
        <w:tab/>
      </w:r>
      <w:r>
        <w:rPr>
          <w:rStyle w:val="18"/>
          <w:rFonts w:eastAsia="Times New Roman" w:asciiTheme="majorBidi" w:hAnsiTheme="majorBidi" w:cstheme="majorBidi"/>
          <w:sz w:val="24"/>
          <w:szCs w:val="24"/>
        </w:rPr>
        <w:t>Research Design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_Toc215132361 \h </w:instrText>
      </w:r>
      <w:r>
        <w:rPr>
          <w:rFonts w:asciiTheme="majorBidi" w:hAnsiTheme="majorBidi" w:cstheme="majorBidi"/>
          <w:sz w:val="24"/>
          <w:szCs w:val="24"/>
        </w:rPr>
        <w:fldChar w:fldCharType="separate"/>
      </w:r>
      <w:r>
        <w:rPr>
          <w:rFonts w:asciiTheme="majorBidi" w:hAnsiTheme="majorBidi" w:cstheme="majorBidi"/>
          <w:sz w:val="24"/>
          <w:szCs w:val="24"/>
        </w:rPr>
        <w:t>15</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5217565D">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"_Toc215132362" </w:instrText>
      </w:r>
      <w:r>
        <w:fldChar w:fldCharType="separate"/>
      </w:r>
      <w:r>
        <w:rPr>
          <w:rStyle w:val="18"/>
          <w:rFonts w:eastAsia="Times New Roman" w:asciiTheme="majorBidi" w:hAnsiTheme="majorBidi" w:cstheme="majorBidi"/>
          <w:sz w:val="24"/>
          <w:szCs w:val="24"/>
        </w:rPr>
        <w:t>3.2</w:t>
      </w:r>
      <w:r>
        <w:rPr>
          <w:rFonts w:asciiTheme="majorBidi" w:hAnsiTheme="majorBidi" w:eastAsiaTheme="minorEastAsia" w:cstheme="majorBidi"/>
          <w:sz w:val="24"/>
          <w:szCs w:val="24"/>
        </w:rPr>
        <w:tab/>
      </w:r>
      <w:r>
        <w:rPr>
          <w:rStyle w:val="18"/>
          <w:rFonts w:eastAsia="Times New Roman" w:asciiTheme="majorBidi" w:hAnsiTheme="majorBidi" w:cstheme="majorBidi"/>
          <w:sz w:val="24"/>
          <w:szCs w:val="24"/>
        </w:rPr>
        <w:t>Materials and Reagents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_Toc215132362 \h </w:instrText>
      </w:r>
      <w:r>
        <w:rPr>
          <w:rFonts w:asciiTheme="majorBidi" w:hAnsiTheme="majorBidi" w:cstheme="majorBidi"/>
          <w:sz w:val="24"/>
          <w:szCs w:val="24"/>
        </w:rPr>
        <w:fldChar w:fldCharType="separate"/>
      </w:r>
      <w:r>
        <w:rPr>
          <w:rFonts w:asciiTheme="majorBidi" w:hAnsiTheme="majorBidi" w:cstheme="majorBidi"/>
          <w:sz w:val="24"/>
          <w:szCs w:val="24"/>
        </w:rPr>
        <w:t>15</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45910C3">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"_Toc215132363" </w:instrText>
      </w:r>
      <w:r>
        <w:fldChar w:fldCharType="separate"/>
      </w:r>
      <w:r>
        <w:rPr>
          <w:rStyle w:val="18"/>
          <w:rFonts w:asciiTheme="majorBidi" w:hAnsiTheme="majorBidi" w:cstheme="majorBidi"/>
          <w:sz w:val="24"/>
          <w:szCs w:val="24"/>
        </w:rPr>
        <w:t>3.3</w:t>
      </w:r>
      <w:r>
        <w:rPr>
          <w:rFonts w:asciiTheme="majorBidi" w:hAnsiTheme="majorBidi" w:eastAsiaTheme="minorEastAsia" w:cstheme="majorBidi"/>
          <w:sz w:val="24"/>
          <w:szCs w:val="24"/>
        </w:rPr>
        <w:tab/>
      </w:r>
      <w:r>
        <w:rPr>
          <w:rStyle w:val="18"/>
          <w:rFonts w:asciiTheme="majorBidi" w:hAnsiTheme="majorBidi" w:cstheme="majorBidi"/>
          <w:sz w:val="24"/>
          <w:szCs w:val="24"/>
        </w:rPr>
        <w:t>Sample Collection and Preparation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_Toc215132363 \h </w:instrText>
      </w:r>
      <w:r>
        <w:rPr>
          <w:rFonts w:asciiTheme="majorBidi" w:hAnsiTheme="majorBidi" w:cstheme="majorBidi"/>
          <w:sz w:val="24"/>
          <w:szCs w:val="24"/>
        </w:rPr>
        <w:fldChar w:fldCharType="separate"/>
      </w:r>
      <w:r>
        <w:rPr>
          <w:rFonts w:asciiTheme="majorBidi" w:hAnsiTheme="majorBidi" w:cstheme="majorBidi"/>
          <w:sz w:val="24"/>
          <w:szCs w:val="24"/>
        </w:rPr>
        <w:t>16</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7E50705">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"_Toc215132364" </w:instrText>
      </w:r>
      <w:r>
        <w:fldChar w:fldCharType="separate"/>
      </w:r>
      <w:r>
        <w:rPr>
          <w:rStyle w:val="18"/>
          <w:rFonts w:eastAsia="Times New Roman" w:asciiTheme="majorBidi" w:hAnsiTheme="majorBidi" w:cstheme="majorBidi"/>
          <w:sz w:val="24"/>
          <w:szCs w:val="24"/>
        </w:rPr>
        <w:t>3.4</w:t>
      </w:r>
      <w:r>
        <w:rPr>
          <w:rFonts w:asciiTheme="majorBidi" w:hAnsiTheme="majorBidi" w:eastAsiaTheme="minorEastAsia" w:cstheme="majorBidi"/>
          <w:sz w:val="24"/>
          <w:szCs w:val="24"/>
        </w:rPr>
        <w:tab/>
      </w:r>
      <w:r>
        <w:rPr>
          <w:rStyle w:val="18"/>
          <w:rFonts w:eastAsia="Times New Roman" w:asciiTheme="majorBidi" w:hAnsiTheme="majorBidi" w:cstheme="majorBidi"/>
          <w:sz w:val="24"/>
          <w:szCs w:val="24"/>
        </w:rPr>
        <w:t>Phytochemical Screening</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_Toc215132364 \h </w:instrText>
      </w:r>
      <w:r>
        <w:rPr>
          <w:rFonts w:asciiTheme="majorBidi" w:hAnsiTheme="majorBidi" w:cstheme="majorBidi"/>
          <w:sz w:val="24"/>
          <w:szCs w:val="24"/>
        </w:rPr>
        <w:fldChar w:fldCharType="separate"/>
      </w:r>
      <w:r>
        <w:rPr>
          <w:rFonts w:asciiTheme="majorBidi" w:hAnsiTheme="majorBidi" w:cstheme="majorBidi"/>
          <w:sz w:val="24"/>
          <w:szCs w:val="24"/>
        </w:rPr>
        <w:t>17</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84B2029">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"_Toc215132365" </w:instrText>
      </w:r>
      <w:r>
        <w:fldChar w:fldCharType="separate"/>
      </w:r>
      <w:r>
        <w:rPr>
          <w:rStyle w:val="18"/>
          <w:rFonts w:eastAsia="Times New Roman" w:asciiTheme="majorBidi" w:hAnsiTheme="majorBidi" w:cstheme="majorBidi"/>
          <w:sz w:val="24"/>
          <w:szCs w:val="24"/>
        </w:rPr>
        <w:t>3.5</w:t>
      </w:r>
      <w:r>
        <w:rPr>
          <w:rFonts w:asciiTheme="majorBidi" w:hAnsiTheme="majorBidi" w:eastAsiaTheme="minorEastAsia" w:cstheme="majorBidi"/>
          <w:sz w:val="24"/>
          <w:szCs w:val="24"/>
        </w:rPr>
        <w:tab/>
      </w:r>
      <w:r>
        <w:rPr>
          <w:rStyle w:val="18"/>
          <w:rFonts w:eastAsia="Times New Roman" w:asciiTheme="majorBidi" w:hAnsiTheme="majorBidi" w:cstheme="majorBidi"/>
          <w:sz w:val="24"/>
          <w:szCs w:val="24"/>
        </w:rPr>
        <w:t>Preparation of Media and Bacterial Inoculum</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_Toc215132365 \h </w:instrText>
      </w:r>
      <w:r>
        <w:rPr>
          <w:rFonts w:asciiTheme="majorBidi" w:hAnsiTheme="majorBidi" w:cstheme="majorBidi"/>
          <w:sz w:val="24"/>
          <w:szCs w:val="24"/>
        </w:rPr>
        <w:fldChar w:fldCharType="separate"/>
      </w:r>
      <w:r>
        <w:rPr>
          <w:rFonts w:asciiTheme="majorBidi" w:hAnsiTheme="majorBidi" w:cstheme="majorBidi"/>
          <w:sz w:val="24"/>
          <w:szCs w:val="24"/>
        </w:rPr>
        <w:t>18</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51D9A77">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"_Toc215132366" </w:instrText>
      </w:r>
      <w:r>
        <w:fldChar w:fldCharType="separate"/>
      </w:r>
      <w:r>
        <w:rPr>
          <w:rStyle w:val="18"/>
          <w:rFonts w:eastAsia="Times New Roman" w:asciiTheme="majorBidi" w:hAnsiTheme="majorBidi" w:cstheme="majorBidi"/>
          <w:sz w:val="24"/>
          <w:szCs w:val="24"/>
        </w:rPr>
        <w:t>3.6</w:t>
      </w:r>
      <w:r>
        <w:rPr>
          <w:rFonts w:asciiTheme="majorBidi" w:hAnsiTheme="majorBidi" w:eastAsiaTheme="minorEastAsia" w:cstheme="majorBidi"/>
          <w:sz w:val="24"/>
          <w:szCs w:val="24"/>
        </w:rPr>
        <w:tab/>
      </w:r>
      <w:r>
        <w:rPr>
          <w:rStyle w:val="18"/>
          <w:rFonts w:eastAsia="Times New Roman" w:asciiTheme="majorBidi" w:hAnsiTheme="majorBidi" w:cstheme="majorBidi"/>
          <w:sz w:val="24"/>
          <w:szCs w:val="24"/>
        </w:rPr>
        <w:t>Antibacterial Sensitivity Test</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_Toc215132366 \h </w:instrText>
      </w:r>
      <w:r>
        <w:rPr>
          <w:rFonts w:asciiTheme="majorBidi" w:hAnsiTheme="majorBidi" w:cstheme="majorBidi"/>
          <w:sz w:val="24"/>
          <w:szCs w:val="24"/>
        </w:rPr>
        <w:fldChar w:fldCharType="separate"/>
      </w:r>
      <w:r>
        <w:rPr>
          <w:rFonts w:asciiTheme="majorBidi" w:hAnsiTheme="majorBidi" w:cstheme="majorBidi"/>
          <w:sz w:val="24"/>
          <w:szCs w:val="24"/>
        </w:rPr>
        <w:t>19</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BBB8B57">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"_Toc215132367" </w:instrText>
      </w:r>
      <w:r>
        <w:fldChar w:fldCharType="separate"/>
      </w:r>
      <w:r>
        <w:rPr>
          <w:rStyle w:val="18"/>
          <w:rFonts w:eastAsia="Times New Roman" w:asciiTheme="majorBidi" w:hAnsiTheme="majorBidi" w:cstheme="majorBidi"/>
          <w:sz w:val="24"/>
          <w:szCs w:val="24"/>
        </w:rPr>
        <w:t>3.7</w:t>
      </w:r>
      <w:r>
        <w:rPr>
          <w:rFonts w:asciiTheme="majorBidi" w:hAnsiTheme="majorBidi" w:eastAsiaTheme="minorEastAsia" w:cstheme="majorBidi"/>
          <w:sz w:val="24"/>
          <w:szCs w:val="24"/>
        </w:rPr>
        <w:tab/>
      </w:r>
      <w:r>
        <w:rPr>
          <w:rStyle w:val="18"/>
          <w:rFonts w:eastAsia="Times New Roman" w:asciiTheme="majorBidi" w:hAnsiTheme="majorBidi" w:cstheme="majorBidi"/>
          <w:sz w:val="24"/>
          <w:szCs w:val="24"/>
        </w:rPr>
        <w:t>Data Analysis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_Toc215132367 \h </w:instrText>
      </w:r>
      <w:r>
        <w:rPr>
          <w:rFonts w:asciiTheme="majorBidi" w:hAnsiTheme="majorBidi" w:cstheme="majorBidi"/>
          <w:sz w:val="24"/>
          <w:szCs w:val="24"/>
        </w:rPr>
        <w:fldChar w:fldCharType="separate"/>
      </w:r>
      <w:r>
        <w:rPr>
          <w:rFonts w:asciiTheme="majorBidi" w:hAnsiTheme="majorBidi" w:cstheme="majorBidi"/>
          <w:sz w:val="24"/>
          <w:szCs w:val="24"/>
        </w:rPr>
        <w:t>19</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CBA59B6">
      <w:pPr>
        <w:pStyle w:val="25"/>
        <w:tabs>
          <w:tab w:val="right" w:leader="dot" w:pos="9350"/>
        </w:tabs>
        <w:spacing w:after="0" w:line="360" w:lineRule="auto"/>
        <w:rPr>
          <w:rFonts w:asciiTheme="majorBidi" w:hAnsiTheme="majorBidi" w:eastAsiaTheme="minorEastAsia" w:cstheme="majorBidi"/>
          <w:b/>
          <w:bCs/>
          <w:sz w:val="24"/>
          <w:szCs w:val="24"/>
        </w:rPr>
      </w:pPr>
      <w:r>
        <w:fldChar w:fldCharType="begin"/>
      </w:r>
      <w:r>
        <w:instrText xml:space="preserve"> HYPERLINK \l "_Toc215132368" </w:instrText>
      </w:r>
      <w:r>
        <w:fldChar w:fldCharType="separate"/>
      </w:r>
      <w:r>
        <w:rPr>
          <w:rStyle w:val="18"/>
          <w:rFonts w:asciiTheme="majorBidi" w:hAnsiTheme="majorBidi" w:cstheme="majorBidi"/>
          <w:b/>
          <w:bCs/>
          <w:sz w:val="24"/>
          <w:szCs w:val="24"/>
        </w:rPr>
        <w:t>CHAPTER FOUR</w:t>
      </w:r>
      <w:r>
        <w:rPr>
          <w:rStyle w:val="18"/>
          <w:rFonts w:asciiTheme="majorBidi" w:hAnsiTheme="majorBidi" w:cstheme="majorBidi"/>
          <w:b/>
          <w:bCs/>
          <w:sz w:val="24"/>
          <w:szCs w:val="24"/>
        </w:rPr>
        <w:fldChar w:fldCharType="end"/>
      </w:r>
      <w:r>
        <w:rPr>
          <w:rFonts w:asciiTheme="majorBidi" w:hAnsiTheme="majorBidi" w:eastAsiaTheme="minorEastAsia" w:cstheme="majorBidi"/>
          <w:b/>
          <w:bCs/>
          <w:sz w:val="24"/>
          <w:szCs w:val="24"/>
        </w:rPr>
        <w:t xml:space="preserve">: </w:t>
      </w:r>
      <w:r>
        <w:fldChar w:fldCharType="begin"/>
      </w:r>
      <w:r>
        <w:instrText xml:space="preserve"> HYPERLINK \l "_Toc215132369" </w:instrText>
      </w:r>
      <w:r>
        <w:fldChar w:fldCharType="separate"/>
      </w:r>
      <w:r>
        <w:rPr>
          <w:rStyle w:val="18"/>
          <w:rFonts w:asciiTheme="majorBidi" w:hAnsiTheme="majorBidi" w:cstheme="majorBidi"/>
          <w:b/>
          <w:bCs/>
          <w:sz w:val="24"/>
          <w:szCs w:val="24"/>
        </w:rPr>
        <w:t>RESULTS</w:t>
      </w:r>
      <w:r>
        <w:rPr>
          <w:rFonts w:asciiTheme="majorBidi" w:hAnsiTheme="majorBidi" w:cstheme="majorBidi"/>
          <w:b/>
          <w:bCs/>
          <w:sz w:val="24"/>
          <w:szCs w:val="24"/>
        </w:rPr>
        <w:tab/>
      </w:r>
      <w:r>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PAGEREF _Toc215132369 \h </w:instrText>
      </w:r>
      <w:r>
        <w:rPr>
          <w:rFonts w:asciiTheme="majorBidi" w:hAnsiTheme="majorBidi" w:cstheme="majorBidi"/>
          <w:b/>
          <w:bCs/>
          <w:sz w:val="24"/>
          <w:szCs w:val="24"/>
        </w:rPr>
        <w:fldChar w:fldCharType="separate"/>
      </w:r>
      <w:r>
        <w:rPr>
          <w:rFonts w:asciiTheme="majorBidi" w:hAnsiTheme="majorBidi" w:cstheme="majorBidi"/>
          <w:b/>
          <w:bCs/>
          <w:sz w:val="24"/>
          <w:szCs w:val="24"/>
        </w:rPr>
        <w:t>21</w:t>
      </w:r>
      <w:r>
        <w:rPr>
          <w:rFonts w:asciiTheme="majorBidi" w:hAnsiTheme="majorBidi" w:cstheme="majorBidi"/>
          <w:b/>
          <w:bCs/>
          <w:sz w:val="24"/>
          <w:szCs w:val="24"/>
        </w:rPr>
        <w:fldChar w:fldCharType="end"/>
      </w:r>
      <w:r>
        <w:rPr>
          <w:rFonts w:asciiTheme="majorBidi" w:hAnsiTheme="majorBidi" w:cstheme="majorBidi"/>
          <w:b/>
          <w:bCs/>
          <w:sz w:val="24"/>
          <w:szCs w:val="24"/>
        </w:rPr>
        <w:fldChar w:fldCharType="end"/>
      </w:r>
    </w:p>
    <w:p w14:paraId="44109639">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"_Toc215132370" </w:instrText>
      </w:r>
      <w:r>
        <w:fldChar w:fldCharType="separate"/>
      </w:r>
      <w:r>
        <w:rPr>
          <w:rStyle w:val="18"/>
          <w:rFonts w:asciiTheme="majorBidi" w:hAnsiTheme="majorBidi" w:cstheme="majorBidi"/>
          <w:sz w:val="24"/>
          <w:szCs w:val="24"/>
        </w:rPr>
        <w:t>4.1</w:t>
      </w:r>
      <w:r>
        <w:rPr>
          <w:rFonts w:asciiTheme="majorBidi" w:hAnsiTheme="majorBidi" w:eastAsiaTheme="minorEastAsia" w:cstheme="majorBidi"/>
          <w:sz w:val="24"/>
          <w:szCs w:val="24"/>
        </w:rPr>
        <w:tab/>
      </w:r>
      <w:r>
        <w:rPr>
          <w:rStyle w:val="18"/>
          <w:rFonts w:asciiTheme="majorBidi" w:hAnsiTheme="majorBidi" w:cstheme="majorBidi"/>
          <w:sz w:val="24"/>
          <w:szCs w:val="24"/>
        </w:rPr>
        <w:t xml:space="preserve">Phytochemical Composition of </w:t>
      </w:r>
      <w:r>
        <w:rPr>
          <w:rStyle w:val="18"/>
          <w:rFonts w:asciiTheme="majorBidi" w:hAnsiTheme="majorBidi" w:cstheme="majorBidi"/>
          <w:i/>
          <w:iCs/>
          <w:sz w:val="24"/>
          <w:szCs w:val="24"/>
        </w:rPr>
        <w:t>Boscia</w:t>
      </w:r>
      <w:r>
        <w:rPr>
          <w:rStyle w:val="18"/>
          <w:rFonts w:eastAsia="Times New Roman" w:asciiTheme="majorBidi" w:hAnsiTheme="majorBidi" w:cstheme="majorBidi"/>
          <w:i/>
          <w:iCs/>
          <w:sz w:val="24"/>
          <w:szCs w:val="24"/>
        </w:rPr>
        <w:t xml:space="preserve"> angustifolia</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_Toc215132370 \h </w:instrText>
      </w:r>
      <w:r>
        <w:rPr>
          <w:rFonts w:asciiTheme="majorBidi" w:hAnsiTheme="majorBidi" w:cstheme="majorBidi"/>
          <w:sz w:val="24"/>
          <w:szCs w:val="24"/>
        </w:rPr>
        <w:fldChar w:fldCharType="separate"/>
      </w:r>
      <w:r>
        <w:rPr>
          <w:rFonts w:asciiTheme="majorBidi" w:hAnsiTheme="majorBidi" w:cstheme="majorBidi"/>
          <w:sz w:val="24"/>
          <w:szCs w:val="24"/>
        </w:rPr>
        <w:t>21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B5FF354">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"_Toc215132371" </w:instrText>
      </w:r>
      <w:r>
        <w:fldChar w:fldCharType="separate"/>
      </w:r>
      <w:r>
        <w:rPr>
          <w:rStyle w:val="18"/>
          <w:rFonts w:eastAsia="Times New Roman" w:asciiTheme="majorBidi" w:hAnsiTheme="majorBidi" w:cstheme="majorBidi"/>
          <w:sz w:val="24"/>
          <w:szCs w:val="24"/>
        </w:rPr>
        <w:t>4.2</w:t>
      </w:r>
      <w:r>
        <w:rPr>
          <w:rFonts w:asciiTheme="majorBidi" w:hAnsiTheme="majorBidi" w:eastAsiaTheme="minorEastAsia" w:cstheme="majorBidi"/>
          <w:sz w:val="24"/>
          <w:szCs w:val="24"/>
        </w:rPr>
        <w:tab/>
      </w:r>
      <w:r>
        <w:rPr>
          <w:rStyle w:val="18"/>
          <w:rFonts w:eastAsia="Times New Roman" w:asciiTheme="majorBidi" w:hAnsiTheme="majorBidi" w:cstheme="majorBidi"/>
          <w:sz w:val="24"/>
          <w:szCs w:val="24"/>
        </w:rPr>
        <w:t xml:space="preserve">Antibacterial Activity of </w:t>
      </w:r>
      <w:r>
        <w:rPr>
          <w:rStyle w:val="18"/>
          <w:rFonts w:eastAsia="Times New Roman" w:asciiTheme="majorBidi" w:hAnsiTheme="majorBidi" w:cstheme="majorBidi"/>
          <w:i/>
          <w:iCs/>
          <w:sz w:val="24"/>
          <w:szCs w:val="24"/>
        </w:rPr>
        <w:t>Boscia angustifolia</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_Toc215132371 \h </w:instrText>
      </w:r>
      <w:r>
        <w:rPr>
          <w:rFonts w:asciiTheme="majorBidi" w:hAnsiTheme="majorBidi" w:cstheme="majorBidi"/>
          <w:sz w:val="24"/>
          <w:szCs w:val="24"/>
        </w:rPr>
        <w:fldChar w:fldCharType="separate"/>
      </w:r>
      <w:r>
        <w:rPr>
          <w:rFonts w:asciiTheme="majorBidi" w:hAnsiTheme="majorBidi" w:cstheme="majorBidi"/>
          <w:sz w:val="24"/>
          <w:szCs w:val="24"/>
        </w:rPr>
        <w:t>22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E6F704F">
      <w:pPr>
        <w:pStyle w:val="25"/>
        <w:tabs>
          <w:tab w:val="right" w:leader="dot" w:pos="9350"/>
        </w:tabs>
        <w:spacing w:after="0" w:line="360" w:lineRule="auto"/>
        <w:rPr>
          <w:rFonts w:asciiTheme="majorBidi" w:hAnsiTheme="majorBidi" w:eastAsiaTheme="minorEastAsia" w:cstheme="majorBidi"/>
          <w:b/>
          <w:bCs/>
          <w:sz w:val="24"/>
          <w:szCs w:val="24"/>
        </w:rPr>
      </w:pPr>
      <w:r>
        <w:fldChar w:fldCharType="begin"/>
      </w:r>
      <w:r>
        <w:instrText xml:space="preserve"> HYPERLINK \l "_Toc215132372" </w:instrText>
      </w:r>
      <w:r>
        <w:fldChar w:fldCharType="separate"/>
      </w:r>
      <w:r>
        <w:rPr>
          <w:rStyle w:val="18"/>
          <w:rFonts w:asciiTheme="majorBidi" w:hAnsiTheme="majorBidi" w:cstheme="majorBidi"/>
          <w:b/>
          <w:bCs/>
          <w:sz w:val="24"/>
          <w:szCs w:val="24"/>
        </w:rPr>
        <w:t>CHAPTER FIVE</w:t>
      </w:r>
      <w:r>
        <w:rPr>
          <w:rStyle w:val="18"/>
          <w:rFonts w:asciiTheme="majorBidi" w:hAnsiTheme="majorBidi" w:cstheme="majorBidi"/>
          <w:b/>
          <w:bCs/>
          <w:sz w:val="24"/>
          <w:szCs w:val="24"/>
        </w:rPr>
        <w:fldChar w:fldCharType="end"/>
      </w:r>
      <w:r>
        <w:rPr>
          <w:rFonts w:asciiTheme="majorBidi" w:hAnsiTheme="majorBidi" w:eastAsiaTheme="minorEastAsia" w:cstheme="majorBidi"/>
          <w:b/>
          <w:bCs/>
          <w:sz w:val="24"/>
          <w:szCs w:val="24"/>
        </w:rPr>
        <w:t xml:space="preserve">: </w:t>
      </w:r>
      <w:r>
        <w:fldChar w:fldCharType="begin"/>
      </w:r>
      <w:r>
        <w:instrText xml:space="preserve"> HYPERLINK \l "_Toc215132373" </w:instrText>
      </w:r>
      <w:r>
        <w:fldChar w:fldCharType="separate"/>
      </w:r>
      <w:r>
        <w:rPr>
          <w:rStyle w:val="18"/>
          <w:rFonts w:asciiTheme="majorBidi" w:hAnsiTheme="majorBidi" w:cstheme="majorBidi"/>
          <w:b/>
          <w:bCs/>
          <w:sz w:val="24"/>
          <w:szCs w:val="24"/>
        </w:rPr>
        <w:t>DISCUSSION, CONCLUSION AND RECOMMENDATIONS</w:t>
      </w:r>
      <w:r>
        <w:rPr>
          <w:rFonts w:asciiTheme="majorBidi" w:hAnsiTheme="majorBidi" w:cstheme="majorBidi"/>
          <w:b/>
          <w:bCs/>
          <w:sz w:val="24"/>
          <w:szCs w:val="24"/>
        </w:rPr>
        <w:tab/>
      </w:r>
      <w:r>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PAGEREF _Toc215132373 \h </w:instrText>
      </w:r>
      <w:r>
        <w:rPr>
          <w:rFonts w:asciiTheme="majorBidi" w:hAnsiTheme="majorBidi" w:cstheme="majorBidi"/>
          <w:b/>
          <w:bCs/>
          <w:sz w:val="24"/>
          <w:szCs w:val="24"/>
        </w:rPr>
        <w:fldChar w:fldCharType="separate"/>
      </w:r>
      <w:r>
        <w:rPr>
          <w:rFonts w:asciiTheme="majorBidi" w:hAnsiTheme="majorBidi" w:cstheme="majorBidi"/>
          <w:b/>
          <w:bCs/>
          <w:sz w:val="24"/>
          <w:szCs w:val="24"/>
        </w:rPr>
        <w:t>24</w:t>
      </w:r>
      <w:r>
        <w:rPr>
          <w:rFonts w:asciiTheme="majorBidi" w:hAnsiTheme="majorBidi" w:cstheme="majorBidi"/>
          <w:b/>
          <w:bCs/>
          <w:sz w:val="24"/>
          <w:szCs w:val="24"/>
        </w:rPr>
        <w:fldChar w:fldCharType="end"/>
      </w:r>
      <w:r>
        <w:rPr>
          <w:rFonts w:asciiTheme="majorBidi" w:hAnsiTheme="majorBidi" w:cstheme="majorBidi"/>
          <w:b/>
          <w:bCs/>
          <w:sz w:val="24"/>
          <w:szCs w:val="24"/>
        </w:rPr>
        <w:fldChar w:fldCharType="end"/>
      </w:r>
    </w:p>
    <w:p w14:paraId="643435C1">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"_Toc215132374" </w:instrText>
      </w:r>
      <w:r>
        <w:fldChar w:fldCharType="separate"/>
      </w:r>
      <w:r>
        <w:rPr>
          <w:rStyle w:val="18"/>
          <w:rFonts w:asciiTheme="majorBidi" w:hAnsiTheme="majorBidi" w:cstheme="majorBidi"/>
          <w:sz w:val="24"/>
          <w:szCs w:val="24"/>
        </w:rPr>
        <w:t>5.1</w:t>
      </w:r>
      <w:r>
        <w:rPr>
          <w:rFonts w:asciiTheme="majorBidi" w:hAnsiTheme="majorBidi" w:eastAsiaTheme="minorEastAsia" w:cstheme="majorBidi"/>
          <w:sz w:val="24"/>
          <w:szCs w:val="24"/>
        </w:rPr>
        <w:tab/>
      </w:r>
      <w:r>
        <w:rPr>
          <w:rStyle w:val="18"/>
          <w:rFonts w:asciiTheme="majorBidi" w:hAnsiTheme="majorBidi" w:cstheme="majorBidi"/>
          <w:sz w:val="24"/>
          <w:szCs w:val="24"/>
        </w:rPr>
        <w:t>Discussion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_Toc215132374 \h </w:instrText>
      </w:r>
      <w:r>
        <w:rPr>
          <w:rFonts w:asciiTheme="majorBidi" w:hAnsiTheme="majorBidi" w:cstheme="majorBidi"/>
          <w:sz w:val="24"/>
          <w:szCs w:val="24"/>
        </w:rPr>
        <w:fldChar w:fldCharType="separate"/>
      </w:r>
      <w:r>
        <w:rPr>
          <w:rFonts w:asciiTheme="majorBidi" w:hAnsiTheme="majorBidi" w:cstheme="majorBidi"/>
          <w:sz w:val="24"/>
          <w:szCs w:val="24"/>
        </w:rPr>
        <w:t>24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1FF09A6">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"_Toc215132375" </w:instrText>
      </w:r>
      <w:r>
        <w:fldChar w:fldCharType="separate"/>
      </w:r>
      <w:r>
        <w:rPr>
          <w:rStyle w:val="18"/>
          <w:rFonts w:asciiTheme="majorBidi" w:hAnsiTheme="majorBidi" w:cstheme="majorBidi"/>
          <w:sz w:val="24"/>
          <w:szCs w:val="24"/>
        </w:rPr>
        <w:t>5.2</w:t>
      </w:r>
      <w:r>
        <w:rPr>
          <w:rFonts w:asciiTheme="majorBidi" w:hAnsiTheme="majorBidi" w:eastAsiaTheme="minorEastAsia" w:cstheme="majorBidi"/>
          <w:sz w:val="24"/>
          <w:szCs w:val="24"/>
        </w:rPr>
        <w:tab/>
      </w:r>
      <w:r>
        <w:rPr>
          <w:rStyle w:val="18"/>
          <w:rFonts w:asciiTheme="majorBidi" w:hAnsiTheme="majorBidi" w:cstheme="majorBidi"/>
          <w:sz w:val="24"/>
          <w:szCs w:val="24"/>
        </w:rPr>
        <w:t>Conclusion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_Toc215132375 \h </w:instrText>
      </w:r>
      <w:r>
        <w:rPr>
          <w:rFonts w:asciiTheme="majorBidi" w:hAnsiTheme="majorBidi" w:cstheme="majorBidi"/>
          <w:sz w:val="24"/>
          <w:szCs w:val="24"/>
        </w:rPr>
        <w:fldChar w:fldCharType="separate"/>
      </w:r>
      <w:r>
        <w:rPr>
          <w:rFonts w:asciiTheme="majorBidi" w:hAnsiTheme="majorBidi" w:cstheme="majorBidi"/>
          <w:sz w:val="24"/>
          <w:szCs w:val="24"/>
        </w:rPr>
        <w:t>26</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0220BA7">
      <w:pPr>
        <w:pStyle w:val="25"/>
        <w:tabs>
          <w:tab w:val="left" w:pos="660"/>
          <w:tab w:val="right" w:leader="dot" w:pos="9350"/>
        </w:tabs>
        <w:spacing w:after="0" w:line="360" w:lineRule="auto"/>
        <w:rPr>
          <w:rFonts w:asciiTheme="majorBidi" w:hAnsiTheme="majorBidi" w:eastAsiaTheme="minorEastAsia" w:cstheme="majorBidi"/>
          <w:sz w:val="24"/>
          <w:szCs w:val="24"/>
        </w:rPr>
      </w:pPr>
      <w:r>
        <w:fldChar w:fldCharType="begin"/>
      </w:r>
      <w:r>
        <w:instrText xml:space="preserve"> HYPERLINK \l "_Toc215132376" </w:instrText>
      </w:r>
      <w:r>
        <w:fldChar w:fldCharType="separate"/>
      </w:r>
      <w:r>
        <w:rPr>
          <w:rStyle w:val="18"/>
          <w:rFonts w:asciiTheme="majorBidi" w:hAnsiTheme="majorBidi" w:cstheme="majorBidi"/>
          <w:sz w:val="24"/>
          <w:szCs w:val="24"/>
        </w:rPr>
        <w:t>5.3</w:t>
      </w:r>
      <w:r>
        <w:rPr>
          <w:rFonts w:asciiTheme="majorBidi" w:hAnsiTheme="majorBidi" w:eastAsiaTheme="minorEastAsia" w:cstheme="majorBidi"/>
          <w:sz w:val="24"/>
          <w:szCs w:val="24"/>
        </w:rPr>
        <w:tab/>
      </w:r>
      <w:r>
        <w:rPr>
          <w:rStyle w:val="18"/>
          <w:rFonts w:asciiTheme="majorBidi" w:hAnsiTheme="majorBidi" w:cstheme="majorBidi"/>
          <w:sz w:val="24"/>
          <w:szCs w:val="24"/>
        </w:rPr>
        <w:t>Recommendations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_Toc215132376 \h </w:instrText>
      </w:r>
      <w:r>
        <w:rPr>
          <w:rFonts w:asciiTheme="majorBidi" w:hAnsiTheme="majorBidi" w:cstheme="majorBidi"/>
          <w:sz w:val="24"/>
          <w:szCs w:val="24"/>
        </w:rPr>
        <w:fldChar w:fldCharType="separate"/>
      </w:r>
      <w:r>
        <w:rPr>
          <w:rFonts w:asciiTheme="majorBidi" w:hAnsiTheme="majorBidi" w:cstheme="majorBidi"/>
          <w:sz w:val="24"/>
          <w:szCs w:val="24"/>
        </w:rPr>
        <w:t>26</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5260A84">
      <w:pPr>
        <w:pStyle w:val="25"/>
        <w:tabs>
          <w:tab w:val="right" w:leader="dot" w:pos="9350"/>
        </w:tabs>
        <w:spacing w:after="0" w:line="360" w:lineRule="auto"/>
        <w:rPr>
          <w:rFonts w:asciiTheme="majorBidi" w:hAnsiTheme="majorBidi" w:eastAsiaTheme="minorEastAsia" w:cstheme="majorBidi"/>
          <w:b/>
          <w:bCs/>
          <w:sz w:val="24"/>
          <w:szCs w:val="24"/>
        </w:rPr>
      </w:pPr>
      <w:r>
        <w:fldChar w:fldCharType="begin"/>
      </w:r>
      <w:r>
        <w:instrText xml:space="preserve"> HYPERLINK \l "_Toc215132377" </w:instrText>
      </w:r>
      <w:r>
        <w:fldChar w:fldCharType="separate"/>
      </w:r>
      <w:r>
        <w:rPr>
          <w:rStyle w:val="18"/>
          <w:rFonts w:asciiTheme="majorBidi" w:hAnsiTheme="majorBidi" w:cstheme="majorBidi"/>
          <w:b/>
          <w:bCs/>
          <w:sz w:val="24"/>
          <w:szCs w:val="24"/>
        </w:rPr>
        <w:t>REFERENCES</w:t>
      </w:r>
      <w:r>
        <w:rPr>
          <w:rFonts w:asciiTheme="majorBidi" w:hAnsiTheme="majorBidi" w:cstheme="majorBidi"/>
          <w:b/>
          <w:bCs/>
          <w:sz w:val="24"/>
          <w:szCs w:val="24"/>
        </w:rPr>
        <w:tab/>
      </w:r>
      <w:r>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PAGEREF _Toc215132377 \h </w:instrText>
      </w:r>
      <w:r>
        <w:rPr>
          <w:rFonts w:asciiTheme="majorBidi" w:hAnsiTheme="majorBidi" w:cstheme="majorBidi"/>
          <w:b/>
          <w:bCs/>
          <w:sz w:val="24"/>
          <w:szCs w:val="24"/>
        </w:rPr>
        <w:fldChar w:fldCharType="separate"/>
      </w:r>
      <w:r>
        <w:rPr>
          <w:rFonts w:asciiTheme="majorBidi" w:hAnsiTheme="majorBidi" w:cstheme="majorBidi"/>
          <w:b/>
          <w:bCs/>
          <w:sz w:val="24"/>
          <w:szCs w:val="24"/>
        </w:rPr>
        <w:t>27</w:t>
      </w:r>
      <w:r>
        <w:rPr>
          <w:rFonts w:asciiTheme="majorBidi" w:hAnsiTheme="majorBidi" w:cstheme="majorBidi"/>
          <w:b/>
          <w:bCs/>
          <w:sz w:val="24"/>
          <w:szCs w:val="24"/>
        </w:rPr>
        <w:fldChar w:fldCharType="end"/>
      </w:r>
      <w:r>
        <w:rPr>
          <w:rFonts w:asciiTheme="majorBidi" w:hAnsiTheme="majorBidi" w:cstheme="majorBidi"/>
          <w:b/>
          <w:bCs/>
          <w:sz w:val="24"/>
          <w:szCs w:val="24"/>
        </w:rPr>
        <w:fldChar w:fldCharType="end"/>
      </w:r>
    </w:p>
    <w:p w14:paraId="5509768C">
      <w:pPr>
        <w:spacing w:after="0" w:line="360" w:lineRule="auto"/>
        <w:rPr>
          <w:rFonts w:ascii="Times New Roman" w:hAnsi="Times New Roman" w:cs="Times New Roman"/>
        </w:rPr>
      </w:pPr>
      <w:r>
        <w:rPr>
          <w:rFonts w:asciiTheme="majorBidi" w:hAnsiTheme="majorBidi" w:cstheme="majorBidi"/>
          <w:sz w:val="24"/>
          <w:szCs w:val="24"/>
        </w:rPr>
        <w:fldChar w:fldCharType="end"/>
      </w:r>
    </w:p>
    <w:p w14:paraId="6715BC96">
      <w:pPr>
        <w:rPr>
          <w:rFonts w:ascii="Times New Roman" w:hAnsi="Times New Roman" w:cs="Times New Roman"/>
        </w:rPr>
      </w:pPr>
    </w:p>
    <w:p w14:paraId="47F0BDA1">
      <w:pPr>
        <w:rPr>
          <w:rFonts w:ascii="Times New Roman" w:hAnsi="Times New Roman" w:cs="Times New Roman"/>
        </w:rPr>
      </w:pPr>
    </w:p>
    <w:p w14:paraId="79A79BFB">
      <w:pPr>
        <w:rPr>
          <w:rFonts w:ascii="Times New Roman" w:hAnsi="Times New Roman" w:cs="Times New Roman"/>
        </w:rPr>
      </w:pPr>
    </w:p>
    <w:p w14:paraId="6A959558">
      <w:pPr>
        <w:spacing w:line="278" w:lineRule="auto"/>
        <w:rPr>
          <w:rFonts w:ascii="Times New Roman" w:hAnsi="Times New Roman" w:cs="Times New Roman"/>
        </w:rPr>
      </w:pPr>
      <w:r>
        <w:rPr>
          <w:rFonts w:ascii="Times New Roman" w:hAnsi="Times New Roman" w:cs="Times New Roman"/>
        </w:rPr>
        <w:br w:type="page"/>
      </w:r>
    </w:p>
    <w:p w14:paraId="019E6E93">
      <w:pPr>
        <w:pStyle w:val="2"/>
        <w:spacing w:after="0" w:line="480" w:lineRule="auto"/>
        <w:jc w:val="center"/>
      </w:pPr>
      <w:bookmarkStart w:id="5" w:name="_Toc215132340"/>
      <w:r>
        <w:t>LIST OF TABLES</w:t>
      </w:r>
      <w:bookmarkEnd w:id="5"/>
    </w:p>
    <w:p w14:paraId="1D5F5743">
      <w:pPr>
        <w:pStyle w:val="23"/>
        <w:tabs>
          <w:tab w:val="right" w:leader="dot" w:pos="9350"/>
        </w:tabs>
        <w:spacing w:line="360" w:lineRule="auto"/>
        <w:rPr>
          <w:rFonts w:asciiTheme="majorBidi" w:hAnsiTheme="majorBidi" w:cstheme="majorBidi"/>
          <w:sz w:val="24"/>
          <w:szCs w:val="24"/>
        </w:rPr>
      </w:pPr>
      <w:r>
        <w:fldChar w:fldCharType="begin"/>
      </w:r>
      <w:r>
        <w:instrText xml:space="preserve"> TOC \h \z \c "Table" </w:instrText>
      </w:r>
      <w:r>
        <w:fldChar w:fldCharType="separate"/>
      </w:r>
      <w:r>
        <w:fldChar w:fldCharType="begin"/>
      </w:r>
      <w:r>
        <w:instrText xml:space="preserve"> HYPERLINK \l "_Toc215132378" </w:instrText>
      </w:r>
      <w:r>
        <w:fldChar w:fldCharType="separate"/>
      </w:r>
      <w:r>
        <w:rPr>
          <w:rStyle w:val="18"/>
          <w:rFonts w:asciiTheme="majorBidi" w:hAnsiTheme="majorBidi" w:cstheme="majorBidi"/>
          <w:sz w:val="24"/>
          <w:szCs w:val="24"/>
        </w:rPr>
        <w:t xml:space="preserve">Table 4.1: Phytochemical constituents extract of </w:t>
      </w:r>
      <w:r>
        <w:rPr>
          <w:rStyle w:val="18"/>
          <w:rFonts w:asciiTheme="majorBidi" w:hAnsiTheme="majorBidi" w:cstheme="majorBidi"/>
          <w:i/>
          <w:sz w:val="24"/>
          <w:szCs w:val="24"/>
        </w:rPr>
        <w:t>Boscia angustifolia</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_Toc215132378 \h </w:instrText>
      </w:r>
      <w:r>
        <w:rPr>
          <w:rFonts w:asciiTheme="majorBidi" w:hAnsiTheme="majorBidi" w:cstheme="majorBidi"/>
          <w:sz w:val="24"/>
          <w:szCs w:val="24"/>
        </w:rPr>
        <w:fldChar w:fldCharType="separate"/>
      </w:r>
      <w:r>
        <w:rPr>
          <w:rFonts w:asciiTheme="majorBidi" w:hAnsiTheme="majorBidi" w:cstheme="majorBidi"/>
          <w:sz w:val="24"/>
          <w:szCs w:val="24"/>
        </w:rPr>
        <w:t>21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DA3542B">
      <w:pPr>
        <w:pStyle w:val="23"/>
        <w:tabs>
          <w:tab w:val="right" w:leader="dot" w:pos="9350"/>
        </w:tabs>
        <w:spacing w:line="360" w:lineRule="auto"/>
        <w:rPr>
          <w:rFonts w:asciiTheme="majorBidi" w:hAnsiTheme="majorBidi" w:cstheme="majorBidi"/>
          <w:sz w:val="24"/>
          <w:szCs w:val="24"/>
        </w:rPr>
      </w:pPr>
      <w:r>
        <w:fldChar w:fldCharType="begin"/>
      </w:r>
      <w:r>
        <w:instrText xml:space="preserve"> HYPERLINK \l "_Toc215132379" </w:instrText>
      </w:r>
      <w:r>
        <w:fldChar w:fldCharType="separate"/>
      </w:r>
      <w:r>
        <w:rPr>
          <w:rStyle w:val="18"/>
          <w:rFonts w:asciiTheme="majorBidi" w:hAnsiTheme="majorBidi" w:cstheme="majorBidi"/>
          <w:sz w:val="24"/>
          <w:szCs w:val="24"/>
        </w:rPr>
        <w:t xml:space="preserve">Table 4.2 Antibacterial activity of roots extract of </w:t>
      </w:r>
      <w:r>
        <w:rPr>
          <w:rStyle w:val="18"/>
          <w:rFonts w:asciiTheme="majorBidi" w:hAnsiTheme="majorBidi" w:cstheme="majorBidi"/>
          <w:i/>
          <w:sz w:val="24"/>
          <w:szCs w:val="24"/>
        </w:rPr>
        <w:t>Boscia angustifolia</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_Toc215132379 \h </w:instrText>
      </w:r>
      <w:r>
        <w:rPr>
          <w:rFonts w:asciiTheme="majorBidi" w:hAnsiTheme="majorBidi" w:cstheme="majorBidi"/>
          <w:sz w:val="24"/>
          <w:szCs w:val="24"/>
        </w:rPr>
        <w:fldChar w:fldCharType="separate"/>
      </w:r>
      <w:r>
        <w:rPr>
          <w:rFonts w:asciiTheme="majorBidi" w:hAnsiTheme="majorBidi" w:cstheme="majorBidi"/>
          <w:sz w:val="24"/>
          <w:szCs w:val="24"/>
        </w:rPr>
        <w:t>22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654EDE5">
      <w:pPr>
        <w:pStyle w:val="27"/>
      </w:pPr>
      <w:r>
        <w:fldChar w:fldCharType="end"/>
      </w:r>
    </w:p>
    <w:p w14:paraId="1252CEF6">
      <w:pPr>
        <w:rPr>
          <w:rFonts w:ascii="Times New Roman" w:hAnsi="Times New Roman" w:cs="Times New Roman"/>
        </w:rPr>
      </w:pPr>
    </w:p>
    <w:p w14:paraId="2E17EBDD">
      <w:pPr>
        <w:rPr>
          <w:rFonts w:ascii="Times New Roman" w:hAnsi="Times New Roman" w:cs="Times New Roman"/>
        </w:rPr>
      </w:pPr>
    </w:p>
    <w:p w14:paraId="66C0448A">
      <w:pPr>
        <w:rPr>
          <w:rFonts w:ascii="Times New Roman" w:hAnsi="Times New Roman" w:cs="Times New Roman"/>
        </w:rPr>
      </w:pPr>
    </w:p>
    <w:p w14:paraId="7912585E"/>
    <w:p w14:paraId="4FD5001D"/>
    <w:p w14:paraId="39723D04"/>
    <w:p w14:paraId="737C88FE">
      <w:pPr>
        <w:spacing w:line="480" w:lineRule="auto"/>
      </w:pPr>
    </w:p>
    <w:p w14:paraId="07951764">
      <w:pPr>
        <w:spacing w:line="480" w:lineRule="auto"/>
        <w:rPr>
          <w:rStyle w:val="20"/>
          <w:rFonts w:ascii="Times New Roman" w:hAnsi="Times New Roman" w:cs="Times New Roman"/>
        </w:rPr>
      </w:pPr>
      <w:r>
        <w:t xml:space="preserve">                                                                       </w:t>
      </w:r>
      <w:r>
        <w:rPr>
          <w:rStyle w:val="20"/>
          <w:rFonts w:ascii="Times New Roman" w:hAnsi="Times New Roman" w:cs="Times New Roman"/>
        </w:rPr>
        <w:t xml:space="preserve">  </w:t>
      </w:r>
    </w:p>
    <w:p w14:paraId="58E2DD4F">
      <w:pPr>
        <w:spacing w:line="480" w:lineRule="auto"/>
        <w:rPr>
          <w:rStyle w:val="20"/>
          <w:rFonts w:ascii="Times New Roman" w:hAnsi="Times New Roman" w:cs="Times New Roman"/>
        </w:rPr>
      </w:pPr>
      <w:r>
        <w:rPr>
          <w:rStyle w:val="20"/>
          <w:rFonts w:ascii="Times New Roman" w:hAnsi="Times New Roman" w:cs="Times New Roman"/>
        </w:rPr>
        <w:t xml:space="preserve"> </w:t>
      </w:r>
    </w:p>
    <w:p w14:paraId="1B169231">
      <w:pPr>
        <w:spacing w:line="480" w:lineRule="auto"/>
        <w:rPr>
          <w:rStyle w:val="20"/>
          <w:rFonts w:ascii="Times New Roman" w:hAnsi="Times New Roman" w:cs="Times New Roman"/>
        </w:rPr>
      </w:pPr>
      <w:r>
        <w:rPr>
          <w:rStyle w:val="20"/>
          <w:rFonts w:ascii="Times New Roman" w:hAnsi="Times New Roman" w:cs="Times New Roman"/>
        </w:rPr>
        <w:t xml:space="preserve">                                                        </w:t>
      </w:r>
    </w:p>
    <w:p w14:paraId="479555B0">
      <w:pPr>
        <w:spacing w:line="480" w:lineRule="auto"/>
        <w:rPr>
          <w:rStyle w:val="20"/>
          <w:rFonts w:ascii="Times New Roman" w:hAnsi="Times New Roman" w:cs="Times New Roman"/>
        </w:rPr>
      </w:pPr>
    </w:p>
    <w:p w14:paraId="470527F7">
      <w:pPr>
        <w:spacing w:line="480" w:lineRule="auto"/>
        <w:rPr>
          <w:rStyle w:val="20"/>
          <w:rFonts w:ascii="Times New Roman" w:hAnsi="Times New Roman" w:cs="Times New Roman"/>
        </w:rPr>
      </w:pPr>
    </w:p>
    <w:p w14:paraId="2BDAFF34">
      <w:pPr>
        <w:spacing w:line="480" w:lineRule="auto"/>
        <w:rPr>
          <w:rStyle w:val="20"/>
          <w:rFonts w:ascii="Times New Roman" w:hAnsi="Times New Roman" w:cs="Times New Roman"/>
        </w:rPr>
      </w:pPr>
    </w:p>
    <w:p w14:paraId="0B7D4AE1">
      <w:pPr>
        <w:spacing w:line="480" w:lineRule="auto"/>
        <w:rPr>
          <w:rStyle w:val="20"/>
          <w:rFonts w:ascii="Times New Roman" w:hAnsi="Times New Roman" w:cs="Times New Roman"/>
        </w:rPr>
      </w:pPr>
    </w:p>
    <w:p w14:paraId="60AE5D2C">
      <w:pPr>
        <w:spacing w:line="480" w:lineRule="auto"/>
        <w:rPr>
          <w:rStyle w:val="20"/>
          <w:rFonts w:ascii="Times New Roman" w:hAnsi="Times New Roman" w:cs="Times New Roman"/>
        </w:rPr>
      </w:pPr>
    </w:p>
    <w:p w14:paraId="1C394D1C">
      <w:pPr>
        <w:spacing w:line="480" w:lineRule="auto"/>
        <w:rPr>
          <w:rStyle w:val="20"/>
          <w:rFonts w:ascii="Times New Roman" w:hAnsi="Times New Roman" w:cs="Times New Roman"/>
        </w:rPr>
      </w:pPr>
    </w:p>
    <w:p w14:paraId="5D4FE2C4">
      <w:pPr>
        <w:spacing w:line="480" w:lineRule="auto"/>
        <w:rPr>
          <w:rStyle w:val="20"/>
          <w:rFonts w:ascii="Times New Roman" w:hAnsi="Times New Roman" w:cs="Times New Roman"/>
        </w:rPr>
      </w:pPr>
    </w:p>
    <w:p w14:paraId="5CBB70DD">
      <w:pPr>
        <w:spacing w:line="480" w:lineRule="auto"/>
        <w:rPr>
          <w:rStyle w:val="20"/>
          <w:rFonts w:ascii="Times New Roman" w:hAnsi="Times New Roman" w:cs="Times New Roman"/>
        </w:rPr>
      </w:pPr>
    </w:p>
    <w:p w14:paraId="73133A8E">
      <w:pPr>
        <w:pStyle w:val="2"/>
        <w:spacing w:after="0"/>
        <w:jc w:val="center"/>
        <w:rPr>
          <w:sz w:val="32"/>
          <w:szCs w:val="32"/>
        </w:rPr>
      </w:pPr>
      <w:bookmarkStart w:id="6" w:name="_Toc215132341"/>
      <w:r>
        <w:rPr>
          <w:rStyle w:val="20"/>
          <w:rFonts w:cs="Times New Roman"/>
          <w:b w:val="0"/>
        </w:rPr>
        <w:t>ABSTRACT</w:t>
      </w:r>
      <w:bookmarkEnd w:id="6"/>
    </w:p>
    <w:p w14:paraId="3A6B0CBD">
      <w:pPr>
        <w:pStyle w:val="19"/>
        <w:spacing w:before="0" w:beforeAutospacing="0"/>
        <w:jc w:val="both"/>
      </w:pPr>
      <w:bookmarkStart w:id="97" w:name="_GoBack"/>
      <w:r>
        <w:t xml:space="preserve">The study investigated the antibacterial action of </w:t>
      </w:r>
      <w:r>
        <w:rPr>
          <w:rStyle w:val="15"/>
          <w:rFonts w:eastAsiaTheme="majorEastAsia"/>
        </w:rPr>
        <w:t>Boscia angustifolia</w:t>
      </w:r>
      <w:r>
        <w:t xml:space="preserve"> extracts with the aim of identifying its phytochemical constituents and evaluating its efficacy against selected bacterial species. The plant material was collected, extracted using methanol, and subjected to qualitative phytochemical screening. The antibacterial activity of the extract was assessed against </w:t>
      </w:r>
      <w:r>
        <w:rPr>
          <w:rStyle w:val="15"/>
          <w:rFonts w:eastAsiaTheme="majorEastAsia"/>
        </w:rPr>
        <w:t>Klebsiella</w:t>
      </w:r>
      <w:r>
        <w:t xml:space="preserve">, </w:t>
      </w:r>
      <w:r>
        <w:rPr>
          <w:rStyle w:val="15"/>
          <w:rFonts w:eastAsiaTheme="majorEastAsia"/>
        </w:rPr>
        <w:t>Bacillus</w:t>
      </w:r>
      <w:r>
        <w:t xml:space="preserve">, </w:t>
      </w:r>
      <w:r>
        <w:rPr>
          <w:rStyle w:val="15"/>
          <w:rFonts w:eastAsiaTheme="majorEastAsia"/>
        </w:rPr>
        <w:t>Staphylococcus aureus</w:t>
      </w:r>
      <w:r>
        <w:t xml:space="preserve">, and </w:t>
      </w:r>
      <w:r>
        <w:rPr>
          <w:rStyle w:val="15"/>
          <w:rFonts w:eastAsiaTheme="majorEastAsia"/>
        </w:rPr>
        <w:t>Escherichia coli</w:t>
      </w:r>
      <w:r>
        <w:t xml:space="preserve"> using the agar well diffusion method. The phytochemical analysis revealed the presence of flavonoids, saponins, alkaloids, and saponin glycosides, while tannins, volatile oils, anthraquinones, and steroids were not detected. Antibacterial screening indicated that the extract at 40-80mg/mL exhibited strong activity against </w:t>
      </w:r>
      <w:r>
        <w:rPr>
          <w:rStyle w:val="15"/>
          <w:rFonts w:eastAsiaTheme="majorEastAsia"/>
        </w:rPr>
        <w:t>Klebsiella</w:t>
      </w:r>
      <w:r>
        <w:t xml:space="preserve"> and </w:t>
      </w:r>
      <w:r>
        <w:rPr>
          <w:rStyle w:val="15"/>
          <w:rFonts w:eastAsiaTheme="majorEastAsia"/>
        </w:rPr>
        <w:t>Bacillus</w:t>
      </w:r>
      <w:r>
        <w:t xml:space="preserve"> species, with inhibition zones ranging from 13 to 19 and 14 mm to 18 mm, respectively. However, no inhibitory activity was observed against </w:t>
      </w:r>
      <w:r>
        <w:rPr>
          <w:rStyle w:val="15"/>
          <w:rFonts w:eastAsiaTheme="majorEastAsia"/>
        </w:rPr>
        <w:t>Staphylococcus aureus</w:t>
      </w:r>
      <w:r>
        <w:t xml:space="preserve"> and </w:t>
      </w:r>
      <w:r>
        <w:rPr>
          <w:rStyle w:val="15"/>
          <w:rFonts w:eastAsiaTheme="majorEastAsia"/>
        </w:rPr>
        <w:t>E. coli</w:t>
      </w:r>
      <w:r>
        <w:t xml:space="preserve">. The results showed a concentration-dependent antibacterial effect, suggesting that the bioactive compounds in </w:t>
      </w:r>
      <w:r>
        <w:rPr>
          <w:rStyle w:val="15"/>
          <w:rFonts w:eastAsiaTheme="majorEastAsia"/>
        </w:rPr>
        <w:t xml:space="preserve">Boscia angustifolia </w:t>
      </w:r>
      <w:r>
        <w:t xml:space="preserve">may act by disrupting bacterial cell membranes or interfering with essential enzymatic pathways. The findings confirm that </w:t>
      </w:r>
      <w:r>
        <w:rPr>
          <w:rStyle w:val="15"/>
          <w:rFonts w:eastAsiaTheme="majorEastAsia"/>
        </w:rPr>
        <w:t>Boscia angustifolia</w:t>
      </w:r>
      <w:r>
        <w:t xml:space="preserve"> contains pharmacologically active metabolites capable of inhibiting specific bacterial species. These results support its ethnomedicinal use in treating bacterial infections and highlight its potential as a source of new antibacterial agents. Further studies are recommended to isolate and characterize the active compounds, conduct in vivo assays, and explore possible synergistic effects with conventional antibiotics.</w:t>
      </w:r>
    </w:p>
    <w:p w14:paraId="71571338">
      <w:pPr>
        <w:rPr>
          <w:rFonts w:asciiTheme="majorBidi" w:hAnsiTheme="majorBidi" w:cstheme="majorBidi"/>
          <w:sz w:val="24"/>
          <w:szCs w:val="24"/>
        </w:rPr>
      </w:pPr>
      <w:bookmarkStart w:id="7" w:name="_Toc215016044"/>
      <w:r>
        <w:rPr>
          <w:rFonts w:asciiTheme="majorBidi" w:hAnsiTheme="majorBidi" w:cstheme="majorBidi"/>
          <w:b/>
          <w:bCs/>
          <w:sz w:val="24"/>
          <w:szCs w:val="24"/>
        </w:rPr>
        <w:t>Keywords:</w:t>
      </w:r>
      <w:bookmarkEnd w:id="7"/>
      <w:r>
        <w:rPr>
          <w:rFonts w:asciiTheme="majorBidi" w:hAnsiTheme="majorBidi" w:cstheme="majorBidi"/>
          <w:sz w:val="24"/>
          <w:szCs w:val="24"/>
        </w:rPr>
        <w:t xml:space="preserve"> </w:t>
      </w:r>
      <w:r>
        <w:rPr>
          <w:rFonts w:asciiTheme="majorBidi" w:hAnsiTheme="majorBidi" w:cstheme="majorBidi"/>
          <w:i/>
          <w:iCs/>
          <w:sz w:val="24"/>
          <w:szCs w:val="24"/>
        </w:rPr>
        <w:t>Boscia angustifolia, antibacterial activity, phytochemicals, saponins, alkaloids, Klebsiella, Bacillus, antimicrobial mechanism.</w:t>
      </w:r>
    </w:p>
    <w:p w14:paraId="39EA1937"/>
    <w:p w14:paraId="28C5FAB7">
      <w:pPr>
        <w:rPr>
          <w:color w:val="000000" w:themeColor="text1"/>
          <w14:textFill>
            <w14:solidFill>
              <w14:schemeClr w14:val="tx1"/>
            </w14:solidFill>
          </w14:textFill>
        </w:rPr>
      </w:pPr>
    </w:p>
    <w:p w14:paraId="4AA790D7">
      <w:pPr>
        <w:pStyle w:val="2"/>
        <w:rPr>
          <w:rFonts w:asciiTheme="minorHAnsi" w:hAnsiTheme="minorHAnsi" w:eastAsiaTheme="minorHAnsi" w:cstheme="minorBidi"/>
          <w:sz w:val="22"/>
          <w:szCs w:val="22"/>
        </w:rPr>
        <w:sectPr>
          <w:footerReference r:id="rId5" w:type="default"/>
          <w:pgSz w:w="12240" w:h="15840"/>
          <w:pgMar w:top="1440" w:right="1440" w:bottom="1440" w:left="1440" w:header="720" w:footer="720" w:gutter="0"/>
          <w:pgNumType w:fmt="lowerRoman" w:start="1"/>
          <w:cols w:space="720" w:num="1"/>
          <w:titlePg/>
          <w:docGrid w:linePitch="360" w:charSpace="0"/>
        </w:sectPr>
      </w:pPr>
      <w:r>
        <w:rPr>
          <w:rFonts w:asciiTheme="minorHAnsi" w:hAnsiTheme="minorHAnsi" w:eastAsiaTheme="minorHAnsi" w:cstheme="minorBidi"/>
          <w:sz w:val="22"/>
          <w:szCs w:val="22"/>
        </w:rPr>
        <w:t xml:space="preserve">                                                                           </w:t>
      </w:r>
      <w:bookmarkStart w:id="8" w:name="_Toc215016045"/>
    </w:p>
    <w:bookmarkEnd w:id="97"/>
    <w:p w14:paraId="006199CE">
      <w:pPr>
        <w:pStyle w:val="2"/>
        <w:spacing w:before="0" w:after="0" w:line="480" w:lineRule="auto"/>
        <w:jc w:val="center"/>
        <w:rPr>
          <w:rFonts w:eastAsia="Times New Roman"/>
        </w:rPr>
      </w:pPr>
      <w:bookmarkStart w:id="9" w:name="_Toc215132342"/>
      <w:r>
        <w:rPr>
          <w:rFonts w:eastAsia="Times New Roman"/>
        </w:rPr>
        <w:t>CHAPTER ONE</w:t>
      </w:r>
      <w:bookmarkEnd w:id="8"/>
      <w:bookmarkEnd w:id="9"/>
    </w:p>
    <w:p w14:paraId="3B562F41">
      <w:pPr>
        <w:pStyle w:val="2"/>
        <w:spacing w:before="0" w:after="0" w:line="480" w:lineRule="auto"/>
        <w:jc w:val="center"/>
        <w:rPr>
          <w:rFonts w:eastAsia="Times New Roman"/>
          <w:kern w:val="36"/>
        </w:rPr>
      </w:pPr>
      <w:bookmarkStart w:id="10" w:name="_Toc215016046"/>
      <w:bookmarkStart w:id="11" w:name="_Toc215132343"/>
      <w:r>
        <w:rPr>
          <w:rFonts w:eastAsia="Times New Roman"/>
          <w:kern w:val="36"/>
        </w:rPr>
        <w:t>INTRODUCTION</w:t>
      </w:r>
      <w:bookmarkEnd w:id="10"/>
      <w:bookmarkEnd w:id="11"/>
    </w:p>
    <w:p w14:paraId="745FAC06">
      <w:pPr>
        <w:pStyle w:val="2"/>
        <w:spacing w:after="0" w:line="480" w:lineRule="auto"/>
        <w:rPr>
          <w:rFonts w:eastAsia="Times New Roman"/>
        </w:rPr>
      </w:pPr>
      <w:bookmarkStart w:id="12" w:name="_Toc215132344"/>
      <w:bookmarkStart w:id="13" w:name="_Toc215016047"/>
      <w:r>
        <w:rPr>
          <w:rFonts w:eastAsia="Times New Roman"/>
        </w:rPr>
        <w:t>1.1</w:t>
      </w:r>
      <w:r>
        <w:rPr>
          <w:rFonts w:eastAsia="Times New Roman"/>
        </w:rPr>
        <w:tab/>
      </w:r>
      <w:r>
        <w:rPr>
          <w:rFonts w:eastAsia="Times New Roman"/>
        </w:rPr>
        <w:t>Background of the Study</w:t>
      </w:r>
      <w:bookmarkEnd w:id="12"/>
      <w:bookmarkEnd w:id="13"/>
    </w:p>
    <w:p w14:paraId="1557617C">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Bacterial infections remain one of the most challenging health problems globally, especially in developing countries where limited access to healthcare and the overuse of antibiotics have intensified the spread of resistant strains. Antibiotics have been considered the cornerstone of modern medicine for decades; however, their efficacy is increasingly compromised by the emergence of multidrug-resistant pathogens (</w:t>
      </w:r>
      <w:r>
        <w:rPr>
          <w:rFonts w:ascii="Times New Roman" w:hAnsi="Times New Roman" w:eastAsia="Times New Roman" w:cs="Times New Roman"/>
          <w:sz w:val="24"/>
          <w:szCs w:val="24"/>
        </w:rPr>
        <w:t xml:space="preserve">Muteeb </w:t>
      </w:r>
      <w:r>
        <w:rPr>
          <w:rFonts w:ascii="Times New Roman" w:hAnsi="Times New Roman" w:eastAsia="Times New Roman" w:cs="Times New Roman"/>
          <w:i/>
          <w:iCs/>
          <w:sz w:val="24"/>
          <w:szCs w:val="24"/>
        </w:rPr>
        <w:t>et al.,</w:t>
      </w:r>
      <w:r>
        <w:rPr>
          <w:rFonts w:ascii="Times New Roman" w:hAnsi="Times New Roman" w:eastAsia="Times New Roman" w:cs="Times New Roman"/>
          <w:sz w:val="24"/>
          <w:szCs w:val="24"/>
        </w:rPr>
        <w:t xml:space="preserve"> 2023</w:t>
      </w:r>
      <w:r>
        <w:rPr>
          <w:rFonts w:ascii="Times New Roman" w:hAnsi="Times New Roman" w:eastAsia="Times New Roman" w:cs="Times New Roman"/>
          <w:color w:val="000000" w:themeColor="text1"/>
          <w:sz w:val="24"/>
          <w:szCs w:val="24"/>
          <w14:textFill>
            <w14:solidFill>
              <w14:schemeClr w14:val="tx1"/>
            </w14:solidFill>
          </w14:textFill>
        </w:rPr>
        <w:t>). In response to this crisis, the exploration of natural products, particularly medicinal plants, has become a critical area of research. Plants have historically provided bioactive molecules with antimicrobial potential, and many conventional drugs are derived from plant metabolites (</w:t>
      </w:r>
      <w:r>
        <w:rPr>
          <w:rFonts w:ascii="Times New Roman" w:hAnsi="Times New Roman" w:eastAsia="Times New Roman" w:cs="Times New Roman"/>
          <w:sz w:val="24"/>
          <w:szCs w:val="24"/>
        </w:rPr>
        <w:t xml:space="preserve">Vaou </w:t>
      </w:r>
      <w:r>
        <w:rPr>
          <w:rFonts w:ascii="Times New Roman" w:hAnsi="Times New Roman" w:eastAsia="Times New Roman" w:cs="Times New Roman"/>
          <w:i/>
          <w:iCs/>
          <w:sz w:val="24"/>
          <w:szCs w:val="24"/>
        </w:rPr>
        <w:t>et al</w:t>
      </w:r>
      <w:r>
        <w:rPr>
          <w:rFonts w:ascii="Times New Roman" w:hAnsi="Times New Roman" w:eastAsia="Times New Roman" w:cs="Times New Roman"/>
          <w:sz w:val="24"/>
          <w:szCs w:val="24"/>
        </w:rPr>
        <w:t>.</w:t>
      </w:r>
      <w:r>
        <w:rPr>
          <w:rFonts w:ascii="Times New Roman" w:hAnsi="Times New Roman" w:eastAsia="Times New Roman" w:cs="Times New Roman"/>
          <w:color w:val="000000" w:themeColor="text1"/>
          <w:sz w:val="24"/>
          <w:szCs w:val="24"/>
          <w14:textFill>
            <w14:solidFill>
              <w14:schemeClr w14:val="tx1"/>
            </w14:solidFill>
          </w14:textFill>
        </w:rPr>
        <w:t>, 2021).</w:t>
      </w:r>
    </w:p>
    <w:p w14:paraId="54439CE6">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i/>
          <w:iCs/>
          <w:color w:val="000000" w:themeColor="text1"/>
          <w:sz w:val="24"/>
          <w:szCs w:val="24"/>
          <w14:textFill>
            <w14:solidFill>
              <w14:schemeClr w14:val="tx1"/>
            </w14:solidFill>
          </w14:textFill>
        </w:rPr>
        <w:t>Boscia angustifolia</w:t>
      </w:r>
      <w:r>
        <w:rPr>
          <w:rFonts w:ascii="Times New Roman" w:hAnsi="Times New Roman" w:eastAsia="Times New Roman" w:cs="Times New Roman"/>
          <w:color w:val="000000" w:themeColor="text1"/>
          <w:sz w:val="24"/>
          <w:szCs w:val="24"/>
          <w14:textFill>
            <w14:solidFill>
              <w14:schemeClr w14:val="tx1"/>
            </w14:solidFill>
          </w14:textFill>
        </w:rPr>
        <w:t>, a shrub of the family Capparaceae, is native to the Sahel region of Africa and is well recognized for its resilience in arid environments. Traditionally, different parts of the plant, including its seeds, bark, and leaves, are used in folk medicine to treat infectious diseases, digestive disorders, and inflammatory conditions (</w:t>
      </w:r>
      <w:r>
        <w:rPr>
          <w:rFonts w:ascii="Times New Roman" w:hAnsi="Times New Roman" w:eastAsia="Times New Roman" w:cs="Times New Roman"/>
          <w:sz w:val="24"/>
          <w:szCs w:val="24"/>
        </w:rPr>
        <w:t>Chaughule and Barve, 2024</w:t>
      </w:r>
      <w:r>
        <w:rPr>
          <w:rFonts w:ascii="Times New Roman" w:hAnsi="Times New Roman" w:eastAsia="Times New Roman" w:cs="Times New Roman"/>
          <w:color w:val="000000" w:themeColor="text1"/>
          <w:sz w:val="24"/>
          <w:szCs w:val="24"/>
          <w14:textFill>
            <w14:solidFill>
              <w14:schemeClr w14:val="tx1"/>
            </w14:solidFill>
          </w14:textFill>
        </w:rPr>
        <w:t xml:space="preserve">). Recent pharmacological investigations indicate that </w:t>
      </w:r>
      <w:r>
        <w:rPr>
          <w:rFonts w:ascii="Times New Roman" w:hAnsi="Times New Roman" w:eastAsia="Times New Roman" w:cs="Times New Roman"/>
          <w:i/>
          <w:iCs/>
          <w:color w:val="000000" w:themeColor="text1"/>
          <w:sz w:val="24"/>
          <w:szCs w:val="24"/>
          <w14:textFill>
            <w14:solidFill>
              <w14:schemeClr w14:val="tx1"/>
            </w14:solidFill>
          </w14:textFill>
        </w:rPr>
        <w:t>B.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possesses diverse biological activities, including antioxidant, antimicrobial, and anti-inflammatory effects (Vougat Ngom </w:t>
      </w:r>
      <w:r>
        <w:rPr>
          <w:rFonts w:ascii="Times New Roman" w:hAnsi="Times New Roman" w:eastAsia="Times New Roman" w:cs="Times New Roman"/>
          <w:i/>
          <w:iCs/>
          <w:color w:val="000000" w:themeColor="text1"/>
          <w:sz w:val="24"/>
          <w:szCs w:val="24"/>
          <w14:textFill>
            <w14:solidFill>
              <w14:schemeClr w14:val="tx1"/>
            </w14:solidFill>
          </w14:textFill>
        </w:rPr>
        <w:t>et al.,</w:t>
      </w:r>
      <w:r>
        <w:rPr>
          <w:rFonts w:ascii="Times New Roman" w:hAnsi="Times New Roman" w:eastAsia="Times New Roman" w:cs="Times New Roman"/>
          <w:color w:val="000000" w:themeColor="text1"/>
          <w:sz w:val="24"/>
          <w:szCs w:val="24"/>
          <w14:textFill>
            <w14:solidFill>
              <w14:schemeClr w14:val="tx1"/>
            </w14:solidFill>
          </w14:textFill>
        </w:rPr>
        <w:t xml:space="preserve"> 2021). This has positioned the plant as a promising source for the development of novel antibacterial agents.</w:t>
      </w:r>
    </w:p>
    <w:p w14:paraId="40E70F01">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The growing interest in </w:t>
      </w:r>
      <w:r>
        <w:rPr>
          <w:rFonts w:ascii="Times New Roman" w:hAnsi="Times New Roman" w:eastAsia="Times New Roman" w:cs="Times New Roman"/>
          <w:i/>
          <w:iCs/>
          <w:color w:val="000000" w:themeColor="text1"/>
          <w:sz w:val="24"/>
          <w:szCs w:val="24"/>
          <w14:textFill>
            <w14:solidFill>
              <w14:schemeClr w14:val="tx1"/>
            </w14:solidFill>
          </w14:textFill>
        </w:rPr>
        <w:t>B.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arises not only from its ethnomedicinal applications but also from scientific evidence supporting its antibacterial activity. For example, ethanolic and methanolic extracts of the plant have shown inhibitory effects against </w:t>
      </w:r>
      <w:r>
        <w:rPr>
          <w:rFonts w:ascii="Times New Roman" w:hAnsi="Times New Roman" w:eastAsia="Times New Roman" w:cs="Times New Roman"/>
          <w:i/>
          <w:iCs/>
          <w:color w:val="000000" w:themeColor="text1"/>
          <w:sz w:val="24"/>
          <w:szCs w:val="24"/>
          <w14:textFill>
            <w14:solidFill>
              <w14:schemeClr w14:val="tx1"/>
            </w14:solidFill>
          </w14:textFill>
        </w:rPr>
        <w:t>Escherichia coli</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Salmonella typhi</w:t>
      </w:r>
      <w:r>
        <w:rPr>
          <w:rFonts w:ascii="Times New Roman" w:hAnsi="Times New Roman" w:eastAsia="Times New Roman" w:cs="Times New Roman"/>
          <w:color w:val="000000" w:themeColor="text1"/>
          <w:sz w:val="24"/>
          <w:szCs w:val="24"/>
          <w14:textFill>
            <w14:solidFill>
              <w14:schemeClr w14:val="tx1"/>
            </w14:solidFill>
          </w14:textFill>
        </w:rPr>
        <w:t xml:space="preserve">, and </w:t>
      </w:r>
      <w:r>
        <w:rPr>
          <w:rFonts w:ascii="Times New Roman" w:hAnsi="Times New Roman" w:eastAsia="Times New Roman" w:cs="Times New Roman"/>
          <w:i/>
          <w:iCs/>
          <w:color w:val="000000" w:themeColor="text1"/>
          <w:sz w:val="24"/>
          <w:szCs w:val="24"/>
          <w14:textFill>
            <w14:solidFill>
              <w14:schemeClr w14:val="tx1"/>
            </w14:solidFill>
          </w14:textFill>
        </w:rPr>
        <w:t>Staphylococcus aureus</w:t>
      </w:r>
      <w:r>
        <w:rPr>
          <w:rFonts w:ascii="Times New Roman" w:hAnsi="Times New Roman" w:eastAsia="Times New Roman" w:cs="Times New Roman"/>
          <w:color w:val="000000" w:themeColor="text1"/>
          <w:sz w:val="24"/>
          <w:szCs w:val="24"/>
          <w14:textFill>
            <w14:solidFill>
              <w14:schemeClr w14:val="tx1"/>
            </w14:solidFill>
          </w14:textFill>
        </w:rPr>
        <w:t xml:space="preserve">, organisms responsible for common infections such as diarrhea, typhoid fever, and skin infections (Essa </w:t>
      </w:r>
      <w:r>
        <w:rPr>
          <w:rFonts w:ascii="Times New Roman" w:hAnsi="Times New Roman" w:eastAsia="Times New Roman" w:cs="Times New Roman"/>
          <w:i/>
          <w:iCs/>
          <w:color w:val="000000" w:themeColor="text1"/>
          <w:sz w:val="24"/>
          <w:szCs w:val="24"/>
          <w14:textFill>
            <w14:solidFill>
              <w14:schemeClr w14:val="tx1"/>
            </w14:solidFill>
          </w14:textFill>
        </w:rPr>
        <w:t>et al.,</w:t>
      </w:r>
      <w:r>
        <w:rPr>
          <w:rFonts w:ascii="Times New Roman" w:hAnsi="Times New Roman" w:eastAsia="Times New Roman" w:cs="Times New Roman"/>
          <w:color w:val="000000" w:themeColor="text1"/>
          <w:sz w:val="24"/>
          <w:szCs w:val="24"/>
          <w14:textFill>
            <w14:solidFill>
              <w14:schemeClr w14:val="tx1"/>
            </w14:solidFill>
          </w14:textFill>
        </w:rPr>
        <w:t xml:space="preserve"> 2021). Such findings reinforce the need to explore the underlying mechanisms through which </w:t>
      </w:r>
      <w:r>
        <w:rPr>
          <w:rFonts w:ascii="Times New Roman" w:hAnsi="Times New Roman" w:eastAsia="Times New Roman" w:cs="Times New Roman"/>
          <w:i/>
          <w:iCs/>
          <w:color w:val="000000" w:themeColor="text1"/>
          <w:sz w:val="24"/>
          <w:szCs w:val="24"/>
          <w14:textFill>
            <w14:solidFill>
              <w14:schemeClr w14:val="tx1"/>
            </w14:solidFill>
          </w14:textFill>
        </w:rPr>
        <w:t>B.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extracts exert antibacterial effects.</w:t>
      </w:r>
    </w:p>
    <w:p w14:paraId="7B375EF8">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Although antibacterial activity has been documented, the specific mechanisms whether targeting bacterial cell walls, altering membrane permeability, inhibiting enzymes, or interfering with DNA replication remain unclear. A deeper understanding of these mechanisms is essential to justify its therapeutic application and guide drug development processes. Thus, this study seeks to bridge the knowledge gap by investigating the mechanism of antibacterial action of </w:t>
      </w:r>
      <w:r>
        <w:rPr>
          <w:rFonts w:ascii="Times New Roman" w:hAnsi="Times New Roman" w:eastAsia="Times New Roman" w:cs="Times New Roman"/>
          <w:i/>
          <w:iCs/>
          <w:color w:val="000000" w:themeColor="text1"/>
          <w:sz w:val="24"/>
          <w:szCs w:val="24"/>
          <w14:textFill>
            <w14:solidFill>
              <w14:schemeClr w14:val="tx1"/>
            </w14:solidFill>
          </w14:textFill>
        </w:rPr>
        <w:t>Boscia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extracts.</w:t>
      </w:r>
    </w:p>
    <w:p w14:paraId="1643467C">
      <w:pPr>
        <w:pStyle w:val="2"/>
        <w:spacing w:after="0" w:line="480" w:lineRule="auto"/>
        <w:rPr>
          <w:rFonts w:eastAsia="Times New Roman"/>
        </w:rPr>
      </w:pPr>
      <w:bookmarkStart w:id="14" w:name="_Toc215016048"/>
      <w:bookmarkStart w:id="15" w:name="_Toc215132345"/>
      <w:r>
        <w:rPr>
          <w:rFonts w:eastAsia="Times New Roman"/>
        </w:rPr>
        <w:t>1.2</w:t>
      </w:r>
      <w:r>
        <w:rPr>
          <w:rFonts w:eastAsia="Times New Roman"/>
        </w:rPr>
        <w:tab/>
      </w:r>
      <w:r>
        <w:rPr>
          <w:rFonts w:eastAsia="Times New Roman"/>
        </w:rPr>
        <w:t>Statement of the Problem</w:t>
      </w:r>
      <w:bookmarkEnd w:id="14"/>
      <w:bookmarkEnd w:id="15"/>
    </w:p>
    <w:p w14:paraId="2DF3B639">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Antibiotic resistance is a pressing global health challenge, with resistant bacteria contributing to high morbidity and mortality rates worldwide. Antimicrobial resistance is identified as one of the top ten global public health threats </w:t>
      </w:r>
      <w:r>
        <w:rPr>
          <w:rFonts w:ascii="Times New Roman" w:hAnsi="Times New Roman" w:eastAsia="Times New Roman" w:cs="Times New Roman"/>
          <w:sz w:val="24"/>
          <w:szCs w:val="24"/>
        </w:rPr>
        <w:t xml:space="preserve">(Salam </w:t>
      </w:r>
      <w:r>
        <w:rPr>
          <w:rFonts w:ascii="Times New Roman" w:hAnsi="Times New Roman" w:eastAsia="Times New Roman" w:cs="Times New Roman"/>
          <w:i/>
          <w:iCs/>
          <w:sz w:val="24"/>
          <w:szCs w:val="24"/>
        </w:rPr>
        <w:t xml:space="preserve">et al., </w:t>
      </w:r>
      <w:r>
        <w:rPr>
          <w:rFonts w:ascii="Times New Roman" w:hAnsi="Times New Roman" w:eastAsia="Times New Roman" w:cs="Times New Roman"/>
          <w:sz w:val="24"/>
          <w:szCs w:val="24"/>
        </w:rPr>
        <w:t>2023)</w:t>
      </w:r>
      <w:r>
        <w:rPr>
          <w:rFonts w:ascii="Times New Roman" w:hAnsi="Times New Roman" w:eastAsia="Times New Roman" w:cs="Times New Roman"/>
          <w:color w:val="000000" w:themeColor="text1"/>
          <w:sz w:val="24"/>
          <w:szCs w:val="24"/>
          <w14:textFill>
            <w14:solidFill>
              <w14:schemeClr w14:val="tx1"/>
            </w14:solidFill>
          </w14:textFill>
        </w:rPr>
        <w:t>. In sub-Saharan Africa, the situation is even more concerning, where reliance on traditional medicine persists alongside limited access to effective antibiotics (</w:t>
      </w:r>
      <w:r>
        <w:rPr>
          <w:rFonts w:ascii="Times New Roman" w:hAnsi="Times New Roman" w:eastAsia="Times New Roman" w:cs="Times New Roman"/>
          <w:sz w:val="24"/>
          <w:szCs w:val="24"/>
        </w:rPr>
        <w:t xml:space="preserve">Kariuki </w:t>
      </w:r>
      <w:r>
        <w:rPr>
          <w:rFonts w:ascii="Times New Roman" w:hAnsi="Times New Roman" w:eastAsia="Times New Roman" w:cs="Times New Roman"/>
          <w:i/>
          <w:iCs/>
          <w:sz w:val="24"/>
          <w:szCs w:val="24"/>
        </w:rPr>
        <w:t xml:space="preserve">et al., </w:t>
      </w:r>
      <w:r>
        <w:rPr>
          <w:rFonts w:ascii="Times New Roman" w:hAnsi="Times New Roman" w:eastAsia="Times New Roman" w:cs="Times New Roman"/>
          <w:sz w:val="24"/>
          <w:szCs w:val="24"/>
        </w:rPr>
        <w:t>2022)</w:t>
      </w:r>
      <w:r>
        <w:rPr>
          <w:rFonts w:ascii="Times New Roman" w:hAnsi="Times New Roman" w:eastAsia="Times New Roman" w:cs="Times New Roman"/>
          <w:color w:val="000000" w:themeColor="text1"/>
          <w:sz w:val="24"/>
          <w:szCs w:val="24"/>
          <w14:textFill>
            <w14:solidFill>
              <w14:schemeClr w14:val="tx1"/>
            </w14:solidFill>
          </w14:textFill>
        </w:rPr>
        <w:t xml:space="preserve">. The continuous emergence of resistant pathogens such as methicillin-resistant </w:t>
      </w:r>
      <w:r>
        <w:rPr>
          <w:rFonts w:ascii="Times New Roman" w:hAnsi="Times New Roman" w:eastAsia="Times New Roman" w:cs="Times New Roman"/>
          <w:i/>
          <w:iCs/>
          <w:color w:val="000000" w:themeColor="text1"/>
          <w:sz w:val="24"/>
          <w:szCs w:val="24"/>
          <w14:textFill>
            <w14:solidFill>
              <w14:schemeClr w14:val="tx1"/>
            </w14:solidFill>
          </w14:textFill>
        </w:rPr>
        <w:t>Staphylococcus aureus</w:t>
      </w:r>
      <w:r>
        <w:rPr>
          <w:rFonts w:ascii="Times New Roman" w:hAnsi="Times New Roman" w:eastAsia="Times New Roman" w:cs="Times New Roman"/>
          <w:color w:val="000000" w:themeColor="text1"/>
          <w:sz w:val="24"/>
          <w:szCs w:val="24"/>
          <w14:textFill>
            <w14:solidFill>
              <w14:schemeClr w14:val="tx1"/>
            </w14:solidFill>
          </w14:textFill>
        </w:rPr>
        <w:t xml:space="preserve"> (MRSA) and multidrug-resistant </w:t>
      </w:r>
      <w:r>
        <w:rPr>
          <w:rFonts w:ascii="Times New Roman" w:hAnsi="Times New Roman" w:eastAsia="Times New Roman" w:cs="Times New Roman"/>
          <w:i/>
          <w:iCs/>
          <w:color w:val="000000" w:themeColor="text1"/>
          <w:sz w:val="24"/>
          <w:szCs w:val="24"/>
          <w14:textFill>
            <w14:solidFill>
              <w14:schemeClr w14:val="tx1"/>
            </w14:solidFill>
          </w14:textFill>
        </w:rPr>
        <w:t>E. coli</w:t>
      </w:r>
      <w:r>
        <w:rPr>
          <w:rFonts w:ascii="Times New Roman" w:hAnsi="Times New Roman" w:eastAsia="Times New Roman" w:cs="Times New Roman"/>
          <w:color w:val="000000" w:themeColor="text1"/>
          <w:sz w:val="24"/>
          <w:szCs w:val="24"/>
          <w14:textFill>
            <w14:solidFill>
              <w14:schemeClr w14:val="tx1"/>
            </w14:solidFill>
          </w14:textFill>
        </w:rPr>
        <w:t xml:space="preserve"> underscores the need for new, effective, and affordable antibacterial agents (</w:t>
      </w:r>
      <w:r>
        <w:rPr>
          <w:rFonts w:ascii="Times New Roman" w:hAnsi="Times New Roman" w:eastAsia="Times New Roman" w:cs="Times New Roman"/>
          <w:sz w:val="24"/>
          <w:szCs w:val="24"/>
        </w:rPr>
        <w:t>Gajic</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et al.,</w:t>
      </w:r>
      <w:r>
        <w:rPr>
          <w:rFonts w:ascii="Times New Roman" w:hAnsi="Times New Roman" w:eastAsia="Times New Roman" w:cs="Times New Roman"/>
          <w:color w:val="000000" w:themeColor="text1"/>
          <w:sz w:val="24"/>
          <w:szCs w:val="24"/>
          <w14:textFill>
            <w14:solidFill>
              <w14:schemeClr w14:val="tx1"/>
            </w14:solidFill>
          </w14:textFill>
        </w:rPr>
        <w:t xml:space="preserve"> 2025).</w:t>
      </w:r>
    </w:p>
    <w:p w14:paraId="79A284DE">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Despite the pharmacological potential of </w:t>
      </w:r>
      <w:r>
        <w:rPr>
          <w:rFonts w:ascii="Times New Roman" w:hAnsi="Times New Roman" w:eastAsia="Times New Roman" w:cs="Times New Roman"/>
          <w:i/>
          <w:iCs/>
          <w:color w:val="000000" w:themeColor="text1"/>
          <w:sz w:val="24"/>
          <w:szCs w:val="24"/>
          <w14:textFill>
            <w14:solidFill>
              <w14:schemeClr w14:val="tx1"/>
            </w14:solidFill>
          </w14:textFill>
        </w:rPr>
        <w:t>Boscia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scientific knowledge on its mechanism of antibacterial action remains fragmented. Previous studies have demonstrated its inhibitory effects against a range of bacteria, but most reports are limited to in vitro activity such as inhibition zones and minimum inhibitory concentration (MIC) values (Vougat Ngom </w:t>
      </w:r>
      <w:r>
        <w:rPr>
          <w:rFonts w:ascii="Times New Roman" w:hAnsi="Times New Roman" w:eastAsia="Times New Roman" w:cs="Times New Roman"/>
          <w:i/>
          <w:iCs/>
          <w:color w:val="000000" w:themeColor="text1"/>
          <w:sz w:val="24"/>
          <w:szCs w:val="24"/>
          <w14:textFill>
            <w14:solidFill>
              <w14:schemeClr w14:val="tx1"/>
            </w14:solidFill>
          </w14:textFill>
        </w:rPr>
        <w:t>et al.,</w:t>
      </w:r>
      <w:r>
        <w:rPr>
          <w:rFonts w:ascii="Times New Roman" w:hAnsi="Times New Roman" w:eastAsia="Times New Roman" w:cs="Times New Roman"/>
          <w:color w:val="000000" w:themeColor="text1"/>
          <w:sz w:val="24"/>
          <w:szCs w:val="24"/>
          <w14:textFill>
            <w14:solidFill>
              <w14:schemeClr w14:val="tx1"/>
            </w14:solidFill>
          </w14:textFill>
        </w:rPr>
        <w:t xml:space="preserve"> 2021). Few studies have gone further to identify the molecular targets or pathways through which the plant’s bioactive compounds exert antibacterial effects. This knowledge gap limits the scientific validation of the plant and its integration into modern pharmacology.</w:t>
      </w:r>
    </w:p>
    <w:p w14:paraId="6AD02285">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The problem is compounded by the overreliance on synthetic antibiotics, which, although effective, are often associated with side effects, high costs, and environmental contamination (</w:t>
      </w:r>
      <w:r>
        <w:rPr>
          <w:rFonts w:ascii="Times New Roman" w:hAnsi="Times New Roman" w:eastAsia="Times New Roman" w:cs="Times New Roman"/>
          <w:sz w:val="24"/>
          <w:szCs w:val="24"/>
        </w:rPr>
        <w:t>Muteeb</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et al.,</w:t>
      </w:r>
      <w:r>
        <w:rPr>
          <w:rFonts w:ascii="Times New Roman" w:hAnsi="Times New Roman" w:eastAsia="Times New Roman" w:cs="Times New Roman"/>
          <w:color w:val="000000" w:themeColor="text1"/>
          <w:sz w:val="24"/>
          <w:szCs w:val="24"/>
          <w14:textFill>
            <w14:solidFill>
              <w14:schemeClr w14:val="tx1"/>
            </w14:solidFill>
          </w14:textFill>
        </w:rPr>
        <w:t xml:space="preserve"> 2023). Additionally, the lack of diversity in current antibiotics pipelines demands the exploration of traditional medicinal plants that are already used by local populations. Without rigorous investigation into their modes of action, valuable therapeutic opportunities may be lost.</w:t>
      </w:r>
    </w:p>
    <w:p w14:paraId="4DC93B7B">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Therefore, the study of </w:t>
      </w:r>
      <w:r>
        <w:rPr>
          <w:rFonts w:ascii="Times New Roman" w:hAnsi="Times New Roman" w:eastAsia="Times New Roman" w:cs="Times New Roman"/>
          <w:i/>
          <w:iCs/>
          <w:color w:val="000000" w:themeColor="text1"/>
          <w:sz w:val="24"/>
          <w:szCs w:val="24"/>
          <w14:textFill>
            <w14:solidFill>
              <w14:schemeClr w14:val="tx1"/>
            </w14:solidFill>
          </w14:textFill>
        </w:rPr>
        <w:t>B.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represents both a scientific and public health priority. By elucidating its mechanism of antibacterial action, this research seeks to contribute to the discovery of novel therapeutic agents, help combat resistance, and provide a basis for evidence-based integration of traditional medicine into formal healthcare systems.</w:t>
      </w:r>
    </w:p>
    <w:p w14:paraId="3BFBBE91">
      <w:pPr>
        <w:pStyle w:val="2"/>
        <w:spacing w:after="0" w:line="480" w:lineRule="auto"/>
        <w:rPr>
          <w:rFonts w:eastAsia="Times New Roman"/>
        </w:rPr>
      </w:pPr>
      <w:bookmarkStart w:id="16" w:name="_Toc215016049"/>
      <w:bookmarkStart w:id="17" w:name="_Toc215132346"/>
      <w:r>
        <w:rPr>
          <w:rFonts w:eastAsia="Times New Roman"/>
        </w:rPr>
        <w:t>1.3</w:t>
      </w:r>
      <w:r>
        <w:rPr>
          <w:rFonts w:eastAsia="Times New Roman"/>
        </w:rPr>
        <w:tab/>
      </w:r>
      <w:r>
        <w:rPr>
          <w:rFonts w:eastAsia="Times New Roman"/>
        </w:rPr>
        <w:t>Objectives of the Study</w:t>
      </w:r>
      <w:bookmarkEnd w:id="16"/>
      <w:bookmarkEnd w:id="17"/>
    </w:p>
    <w:p w14:paraId="43CA9532">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The objective of this research was to investigate the mechanism of antibacterial action of </w:t>
      </w:r>
      <w:r>
        <w:rPr>
          <w:rFonts w:ascii="Times New Roman" w:hAnsi="Times New Roman" w:eastAsia="Times New Roman" w:cs="Times New Roman"/>
          <w:i/>
          <w:iCs/>
          <w:color w:val="000000" w:themeColor="text1"/>
          <w:sz w:val="24"/>
          <w:szCs w:val="24"/>
          <w14:textFill>
            <w14:solidFill>
              <w14:schemeClr w14:val="tx1"/>
            </w14:solidFill>
          </w14:textFill>
        </w:rPr>
        <w:t>Boscia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extracts. Specifically, the study aims to:</w:t>
      </w:r>
    </w:p>
    <w:p w14:paraId="4DCA74CE">
      <w:pPr>
        <w:numPr>
          <w:ilvl w:val="0"/>
          <w:numId w:val="1"/>
        </w:num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Identify the bioactive phytochemicals present in </w:t>
      </w:r>
      <w:r>
        <w:rPr>
          <w:rFonts w:ascii="Times New Roman" w:hAnsi="Times New Roman" w:eastAsia="Times New Roman" w:cs="Times New Roman"/>
          <w:i/>
          <w:iCs/>
          <w:color w:val="000000" w:themeColor="text1"/>
          <w:sz w:val="24"/>
          <w:szCs w:val="24"/>
          <w14:textFill>
            <w14:solidFill>
              <w14:schemeClr w14:val="tx1"/>
            </w14:solidFill>
          </w14:textFill>
        </w:rPr>
        <w:t>Boscia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extracts.</w:t>
      </w:r>
    </w:p>
    <w:p w14:paraId="6AEFF446">
      <w:pPr>
        <w:numPr>
          <w:ilvl w:val="0"/>
          <w:numId w:val="1"/>
        </w:num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Evaluate the antibacterial activity of the extracts against selected Gram-positive and Gram-negative bacterial strains.</w:t>
      </w:r>
    </w:p>
    <w:p w14:paraId="7DF6D624">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p>
    <w:p w14:paraId="545B70C5">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p>
    <w:p w14:paraId="6AF0CBF3">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p>
    <w:p w14:paraId="5EC442B8">
      <w:pPr>
        <w:pStyle w:val="2"/>
        <w:spacing w:after="0" w:line="480" w:lineRule="auto"/>
        <w:rPr>
          <w:rFonts w:eastAsia="Times New Roman"/>
        </w:rPr>
      </w:pPr>
      <w:bookmarkStart w:id="18" w:name="_Toc215016050"/>
      <w:bookmarkStart w:id="19" w:name="_Toc215132347"/>
      <w:r>
        <w:rPr>
          <w:rFonts w:eastAsia="Times New Roman"/>
        </w:rPr>
        <w:t>1.4</w:t>
      </w:r>
      <w:r>
        <w:rPr>
          <w:rFonts w:eastAsia="Times New Roman"/>
        </w:rPr>
        <w:tab/>
      </w:r>
      <w:r>
        <w:rPr>
          <w:rFonts w:eastAsia="Times New Roman"/>
        </w:rPr>
        <w:t>Research Questions</w:t>
      </w:r>
      <w:bookmarkEnd w:id="18"/>
      <w:bookmarkEnd w:id="19"/>
    </w:p>
    <w:p w14:paraId="2A407E10">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The study was guided by the following research questions:</w:t>
      </w:r>
    </w:p>
    <w:p w14:paraId="0730F0E6">
      <w:pPr>
        <w:numPr>
          <w:ilvl w:val="0"/>
          <w:numId w:val="2"/>
        </w:num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What phytochemical constituents are present in </w:t>
      </w:r>
      <w:r>
        <w:rPr>
          <w:rFonts w:ascii="Times New Roman" w:hAnsi="Times New Roman" w:eastAsia="Times New Roman" w:cs="Times New Roman"/>
          <w:i/>
          <w:iCs/>
          <w:color w:val="000000" w:themeColor="text1"/>
          <w:sz w:val="24"/>
          <w:szCs w:val="24"/>
          <w14:textFill>
            <w14:solidFill>
              <w14:schemeClr w14:val="tx1"/>
            </w14:solidFill>
          </w14:textFill>
        </w:rPr>
        <w:t>angustifolia</w:t>
      </w:r>
      <w:r>
        <w:rPr>
          <w:rFonts w:ascii="Times New Roman" w:hAnsi="Times New Roman" w:eastAsia="Times New Roman" w:cs="Times New Roman"/>
          <w:color w:val="000000" w:themeColor="text1"/>
          <w:sz w:val="24"/>
          <w:szCs w:val="24"/>
          <w14:textFill>
            <w14:solidFill>
              <w14:schemeClr w14:val="tx1"/>
            </w14:solidFill>
          </w14:textFill>
        </w:rPr>
        <w:t xml:space="preserve"> extracts?</w:t>
      </w:r>
    </w:p>
    <w:p w14:paraId="7B966D29">
      <w:pPr>
        <w:numPr>
          <w:ilvl w:val="0"/>
          <w:numId w:val="2"/>
        </w:num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How effective are the extracts in inhibiting the growth of selected pathogenic bacteria?</w:t>
      </w:r>
    </w:p>
    <w:p w14:paraId="319F07B2">
      <w:pPr>
        <w:numPr>
          <w:ilvl w:val="0"/>
          <w:numId w:val="2"/>
        </w:num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Through which mechanisms do </w:t>
      </w:r>
      <w:r>
        <w:rPr>
          <w:rFonts w:ascii="Times New Roman" w:hAnsi="Times New Roman" w:eastAsia="Times New Roman" w:cs="Times New Roman"/>
          <w:i/>
          <w:iCs/>
          <w:color w:val="000000" w:themeColor="text1"/>
          <w:sz w:val="24"/>
          <w:szCs w:val="24"/>
          <w14:textFill>
            <w14:solidFill>
              <w14:schemeClr w14:val="tx1"/>
            </w14:solidFill>
          </w14:textFill>
        </w:rPr>
        <w:t>Boscia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extracts exert antibacterial effects</w:t>
      </w:r>
    </w:p>
    <w:p w14:paraId="2A01FFAE">
      <w:pPr>
        <w:pStyle w:val="2"/>
        <w:spacing w:after="0" w:line="480" w:lineRule="auto"/>
        <w:rPr>
          <w:rFonts w:eastAsia="Times New Roman"/>
        </w:rPr>
      </w:pPr>
      <w:bookmarkStart w:id="20" w:name="_Toc215132348"/>
      <w:bookmarkStart w:id="21" w:name="_Toc215016051"/>
      <w:r>
        <w:rPr>
          <w:rFonts w:eastAsia="Times New Roman"/>
        </w:rPr>
        <w:t>1.5</w:t>
      </w:r>
      <w:r>
        <w:rPr>
          <w:rFonts w:eastAsia="Times New Roman"/>
        </w:rPr>
        <w:tab/>
      </w:r>
      <w:r>
        <w:rPr>
          <w:rFonts w:eastAsia="Times New Roman"/>
        </w:rPr>
        <w:t>Significance of the Study</w:t>
      </w:r>
      <w:bookmarkEnd w:id="20"/>
      <w:bookmarkEnd w:id="21"/>
    </w:p>
    <w:p w14:paraId="29BA9260">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This study holds considerable significance in several domains. Scientifically, it contributes to the growing body of literature on medicinal plants with potential antibacterial activity. By identifying the mechanism of action, the research provides a deeper pharmacological understanding of </w:t>
      </w:r>
      <w:r>
        <w:rPr>
          <w:rFonts w:ascii="Times New Roman" w:hAnsi="Times New Roman" w:eastAsia="Times New Roman" w:cs="Times New Roman"/>
          <w:i/>
          <w:iCs/>
          <w:color w:val="000000" w:themeColor="text1"/>
          <w:sz w:val="24"/>
          <w:szCs w:val="24"/>
          <w14:textFill>
            <w14:solidFill>
              <w14:schemeClr w14:val="tx1"/>
            </w14:solidFill>
          </w14:textFill>
        </w:rPr>
        <w:t>Boscia angustifolia</w:t>
      </w:r>
      <w:r>
        <w:rPr>
          <w:rFonts w:ascii="Times New Roman" w:hAnsi="Times New Roman" w:eastAsia="Times New Roman" w:cs="Times New Roman"/>
          <w:color w:val="000000" w:themeColor="text1"/>
          <w:sz w:val="24"/>
          <w:szCs w:val="24"/>
          <w14:textFill>
            <w14:solidFill>
              <w14:schemeClr w14:val="tx1"/>
            </w14:solidFill>
          </w14:textFill>
        </w:rPr>
        <w:t>, thereby validating its traditional medicinal use. It also strengthens the case for integrating ethnobotanical knowledge into drug discovery pipelines (</w:t>
      </w:r>
      <w:r>
        <w:rPr>
          <w:rFonts w:ascii="Times New Roman" w:hAnsi="Times New Roman" w:eastAsia="Times New Roman" w:cs="Times New Roman"/>
          <w:sz w:val="24"/>
          <w:szCs w:val="24"/>
        </w:rPr>
        <w:t xml:space="preserve">Chele </w:t>
      </w:r>
      <w:r>
        <w:rPr>
          <w:rFonts w:ascii="Times New Roman" w:hAnsi="Times New Roman" w:eastAsia="Times New Roman" w:cs="Times New Roman"/>
          <w:i/>
          <w:iCs/>
          <w:sz w:val="24"/>
          <w:szCs w:val="24"/>
        </w:rPr>
        <w:t xml:space="preserve">et al., </w:t>
      </w:r>
      <w:r>
        <w:rPr>
          <w:rFonts w:ascii="Times New Roman" w:hAnsi="Times New Roman" w:eastAsia="Times New Roman" w:cs="Times New Roman"/>
          <w:sz w:val="24"/>
          <w:szCs w:val="24"/>
        </w:rPr>
        <w:t>2025</w:t>
      </w:r>
      <w:r>
        <w:rPr>
          <w:rFonts w:ascii="Times New Roman" w:hAnsi="Times New Roman" w:eastAsia="Times New Roman" w:cs="Times New Roman"/>
          <w:color w:val="000000" w:themeColor="text1"/>
          <w:sz w:val="24"/>
          <w:szCs w:val="24"/>
          <w14:textFill>
            <w14:solidFill>
              <w14:schemeClr w14:val="tx1"/>
            </w14:solidFill>
          </w14:textFill>
        </w:rPr>
        <w:t>).</w:t>
      </w:r>
    </w:p>
    <w:p w14:paraId="758E3062">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From a public health perspective, the study offers an alternative approach to managing bacterial infections, especially in resource-limited settings where synthetic antibiotics may be unavailable or unaffordable. If proven effective, extracts or purified compounds from </w:t>
      </w:r>
      <w:r>
        <w:rPr>
          <w:rFonts w:ascii="Times New Roman" w:hAnsi="Times New Roman" w:eastAsia="Times New Roman" w:cs="Times New Roman"/>
          <w:i/>
          <w:iCs/>
          <w:color w:val="000000" w:themeColor="text1"/>
          <w:sz w:val="24"/>
          <w:szCs w:val="24"/>
          <w14:textFill>
            <w14:solidFill>
              <w14:schemeClr w14:val="tx1"/>
            </w14:solidFill>
          </w14:textFill>
        </w:rPr>
        <w:t>B.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could serve as a basis for affordable, accessible, and culturally accepted therapies (Essa </w:t>
      </w:r>
      <w:r>
        <w:rPr>
          <w:rFonts w:ascii="Times New Roman" w:hAnsi="Times New Roman" w:eastAsia="Times New Roman" w:cs="Times New Roman"/>
          <w:i/>
          <w:iCs/>
          <w:color w:val="000000" w:themeColor="text1"/>
          <w:sz w:val="24"/>
          <w:szCs w:val="24"/>
          <w14:textFill>
            <w14:solidFill>
              <w14:schemeClr w14:val="tx1"/>
            </w14:solidFill>
          </w14:textFill>
        </w:rPr>
        <w:t>et al.,</w:t>
      </w:r>
      <w:r>
        <w:rPr>
          <w:rFonts w:ascii="Times New Roman" w:hAnsi="Times New Roman" w:eastAsia="Times New Roman" w:cs="Times New Roman"/>
          <w:color w:val="000000" w:themeColor="text1"/>
          <w:sz w:val="24"/>
          <w:szCs w:val="24"/>
          <w14:textFill>
            <w14:solidFill>
              <w14:schemeClr w14:val="tx1"/>
            </w14:solidFill>
          </w14:textFill>
        </w:rPr>
        <w:t xml:space="preserve"> 2021). This aligns with global strategies to diversify antibacterial drug sources and mitigate resistance.</w:t>
      </w:r>
    </w:p>
    <w:p w14:paraId="6AE312B0">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The findings may have industrial implications. The isolation of novel bioactive compounds from </w:t>
      </w:r>
      <w:r>
        <w:rPr>
          <w:rFonts w:ascii="Times New Roman" w:hAnsi="Times New Roman" w:eastAsia="Times New Roman" w:cs="Times New Roman"/>
          <w:i/>
          <w:iCs/>
          <w:color w:val="000000" w:themeColor="text1"/>
          <w:sz w:val="24"/>
          <w:szCs w:val="24"/>
          <w14:textFill>
            <w14:solidFill>
              <w14:schemeClr w14:val="tx1"/>
            </w14:solidFill>
          </w14:textFill>
        </w:rPr>
        <w:t>B.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could lead to their development into pharmaceuticals or natural preservatives in the food and cosmetic industries. Such applications would not only add economic value to the plant but also promote sustainable use of biodiversity in Africa.</w:t>
      </w:r>
    </w:p>
    <w:p w14:paraId="2450EA24">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Overall, the study addresses a critical health challenge while promoting the scientific validation of traditional medicine, supporting biodiversity conservation, and potentially contributing to the development of novel antibacterial agents.</w:t>
      </w:r>
    </w:p>
    <w:p w14:paraId="4F3338D3">
      <w:pPr>
        <w:pStyle w:val="2"/>
        <w:spacing w:after="0" w:line="480" w:lineRule="auto"/>
        <w:rPr>
          <w:rFonts w:eastAsia="Times New Roman"/>
        </w:rPr>
      </w:pPr>
      <w:bookmarkStart w:id="22" w:name="_Toc215132349"/>
      <w:bookmarkStart w:id="23" w:name="_Toc215016052"/>
      <w:r>
        <w:rPr>
          <w:rFonts w:eastAsia="Times New Roman"/>
        </w:rPr>
        <w:t>1.6</w:t>
      </w:r>
      <w:r>
        <w:rPr>
          <w:rFonts w:eastAsia="Times New Roman"/>
        </w:rPr>
        <w:tab/>
      </w:r>
      <w:r>
        <w:rPr>
          <w:rFonts w:eastAsia="Times New Roman"/>
        </w:rPr>
        <w:t>Scope and Limitations of the Study</w:t>
      </w:r>
      <w:bookmarkEnd w:id="22"/>
      <w:bookmarkEnd w:id="23"/>
    </w:p>
    <w:p w14:paraId="7B17D702">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This study focuses on evaluating the antibacterial activity and mechanism of action of </w:t>
      </w:r>
      <w:r>
        <w:rPr>
          <w:rFonts w:ascii="Times New Roman" w:hAnsi="Times New Roman" w:eastAsia="Times New Roman" w:cs="Times New Roman"/>
          <w:i/>
          <w:iCs/>
          <w:color w:val="000000" w:themeColor="text1"/>
          <w:sz w:val="24"/>
          <w:szCs w:val="24"/>
          <w14:textFill>
            <w14:solidFill>
              <w14:schemeClr w14:val="tx1"/>
            </w14:solidFill>
          </w14:textFill>
        </w:rPr>
        <w:t>Boscia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extracts. It will involve phytochemical screening, antibacterial assays, and mechanistic studies such as membrane integrity tests. The scope is limited to in vitro experiments using selected Gram-positive and Gram-negative bacteria, which represent common human pathogens. Plant materials will be collected from a defined geographical location to ensure consistency.</w:t>
      </w:r>
    </w:p>
    <w:p w14:paraId="5CA05831">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However, certain limitations are acknowledged. The study may not cover all possible bacterial pathogens, and results from in vitro assays may not fully replicate in vivo conditions. Additionally, the crude extracts may contain complex mixtures of compounds, making it difficult to attribute observed activity to specific molecules. Advanced techniques such as bioassay-guided fractionation may be needed in future studies for compound isolation.</w:t>
      </w:r>
    </w:p>
    <w:p w14:paraId="0E64425F">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Despite these limitations, the study is expected to provide significant insights into the antibacterial mechanism of </w:t>
      </w:r>
      <w:r>
        <w:rPr>
          <w:rFonts w:ascii="Times New Roman" w:hAnsi="Times New Roman" w:eastAsia="Times New Roman" w:cs="Times New Roman"/>
          <w:i/>
          <w:iCs/>
          <w:color w:val="000000" w:themeColor="text1"/>
          <w:sz w:val="24"/>
          <w:szCs w:val="24"/>
          <w14:textFill>
            <w14:solidFill>
              <w14:schemeClr w14:val="tx1"/>
            </w14:solidFill>
          </w14:textFill>
        </w:rPr>
        <w:t>B. angustifolia</w:t>
      </w:r>
      <w:r>
        <w:rPr>
          <w:rFonts w:ascii="Times New Roman" w:hAnsi="Times New Roman" w:eastAsia="Times New Roman" w:cs="Times New Roman"/>
          <w:color w:val="000000" w:themeColor="text1"/>
          <w:sz w:val="24"/>
          <w:szCs w:val="24"/>
          <w14:textFill>
            <w14:solidFill>
              <w14:schemeClr w14:val="tx1"/>
            </w14:solidFill>
          </w14:textFill>
        </w:rPr>
        <w:t>. It will lay a foundation for subsequent in vivo and clinical studies, ensuring that traditional knowledge is scientifically validated and translated into practical applications.</w:t>
      </w:r>
    </w:p>
    <w:p w14:paraId="0B71F368">
      <w:pPr>
        <w:pStyle w:val="2"/>
        <w:spacing w:after="0" w:line="480" w:lineRule="auto"/>
      </w:pPr>
      <w:bookmarkStart w:id="24" w:name="_Toc215016053"/>
      <w:bookmarkStart w:id="25" w:name="_Toc215132350"/>
      <w:r>
        <w:rPr>
          <w:rStyle w:val="20"/>
          <w:b/>
          <w:bCs w:val="0"/>
        </w:rPr>
        <w:t>1.7</w:t>
      </w:r>
      <w:r>
        <w:rPr>
          <w:rStyle w:val="20"/>
          <w:b/>
          <w:bCs w:val="0"/>
        </w:rPr>
        <w:tab/>
      </w:r>
      <w:r>
        <w:rPr>
          <w:rStyle w:val="20"/>
          <w:b/>
          <w:bCs w:val="0"/>
        </w:rPr>
        <w:t>Justification of the Study</w:t>
      </w:r>
      <w:bookmarkEnd w:id="24"/>
      <w:bookmarkEnd w:id="25"/>
    </w:p>
    <w:p w14:paraId="2D93853E">
      <w:pPr>
        <w:pStyle w:val="19"/>
        <w:spacing w:before="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The increasing global burden of antimicrobial resistance has intensified the search for new, effective, and affordable antibacterial agents, particularly those derived from medicinal plants. In many regions of Africa, including Nigeria, traditional medicine remains a primary healthcare option, yet several medicinal plants used ethnobotanically have not been fully evaluated or scientifically validated. </w:t>
      </w:r>
      <w:r>
        <w:rPr>
          <w:rStyle w:val="15"/>
          <w:rFonts w:eastAsiaTheme="majorEastAsia"/>
          <w:color w:val="000000" w:themeColor="text1"/>
          <w14:textFill>
            <w14:solidFill>
              <w14:schemeClr w14:val="tx1"/>
            </w14:solidFill>
          </w14:textFill>
        </w:rPr>
        <w:t>Boscia angustifolia</w:t>
      </w:r>
      <w:r>
        <w:rPr>
          <w:color w:val="000000" w:themeColor="text1"/>
          <w14:textFill>
            <w14:solidFill>
              <w14:schemeClr w14:val="tx1"/>
            </w14:solidFill>
          </w14:textFill>
        </w:rPr>
        <w:t xml:space="preserve"> is one such plant whose traditional uses are well recognized, but whose antibacterial mechanism and activity profile remain insufficiently characterized. Although previous studies have reported antibacterial effects of the plant, most investigations have focused only on inhibition zones or MIC values without further examining concentration-dependent changes or comparing activity with standard antibiotics (Essa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2021; Vougat Ngom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2021). This gap limits the full understanding of the therapeutic potential of the plant.</w:t>
      </w:r>
    </w:p>
    <w:p w14:paraId="0F6B78AA">
      <w:pPr>
        <w:pStyle w:val="19"/>
        <w:spacing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The rise of multidrug-resistant pathogens such as </w:t>
      </w:r>
      <w:r>
        <w:rPr>
          <w:rStyle w:val="15"/>
          <w:rFonts w:eastAsiaTheme="majorEastAsia"/>
          <w:color w:val="000000" w:themeColor="text1"/>
          <w14:textFill>
            <w14:solidFill>
              <w14:schemeClr w14:val="tx1"/>
            </w14:solidFill>
          </w14:textFill>
        </w:rPr>
        <w:t>Klebsiella pneumoniae</w:t>
      </w:r>
      <w:r>
        <w:rPr>
          <w:color w:val="000000" w:themeColor="text1"/>
          <w14:textFill>
            <w14:solidFill>
              <w14:schemeClr w14:val="tx1"/>
            </w14:solidFill>
          </w14:textFill>
        </w:rPr>
        <w:t xml:space="preserve"> and </w:t>
      </w:r>
      <w:r>
        <w:rPr>
          <w:rStyle w:val="15"/>
          <w:rFonts w:eastAsiaTheme="majorEastAsia"/>
          <w:color w:val="000000" w:themeColor="text1"/>
          <w14:textFill>
            <w14:solidFill>
              <w14:schemeClr w14:val="tx1"/>
            </w14:solidFill>
          </w14:textFill>
        </w:rPr>
        <w:t>Bacillus</w:t>
      </w:r>
      <w:r>
        <w:rPr>
          <w:color w:val="000000" w:themeColor="text1"/>
          <w14:textFill>
            <w14:solidFill>
              <w14:schemeClr w14:val="tx1"/>
            </w14:solidFill>
          </w14:textFill>
        </w:rPr>
        <w:t xml:space="preserve"> species necessitates the evaluation of alternative antimicrobial sources that may offer novel mechanisms of action or synergistic value (Ghosh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2022). Investigating the phytochemical constituents and antibacterial activity of </w:t>
      </w:r>
      <w:r>
        <w:rPr>
          <w:rStyle w:val="15"/>
          <w:rFonts w:eastAsiaTheme="majorEastAsia"/>
          <w:color w:val="000000" w:themeColor="text1"/>
          <w14:textFill>
            <w14:solidFill>
              <w14:schemeClr w14:val="tx1"/>
            </w14:solidFill>
          </w14:textFill>
        </w:rPr>
        <w:t>Boscia angustifolia</w:t>
      </w:r>
      <w:r>
        <w:rPr>
          <w:color w:val="000000" w:themeColor="text1"/>
          <w14:textFill>
            <w14:solidFill>
              <w14:schemeClr w14:val="tx1"/>
            </w14:solidFill>
          </w14:textFill>
        </w:rPr>
        <w:t xml:space="preserve"> is therefore crucial, as phytochemicals such as saponins, flavonoids, and alkaloids are known to possess a range of antimicrobial properties (Rahman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2021). Establishing scientific evidence for its antibacterial effects will not only support its traditional applications but may also contribute to the development of plant-based therapeutic agents.</w:t>
      </w:r>
    </w:p>
    <w:p w14:paraId="74AFF6D9">
      <w:pPr>
        <w:spacing w:line="278" w:lineRule="auto"/>
        <w:rPr>
          <w:rFonts w:ascii="Times New Roman" w:hAnsi="Times New Roman" w:eastAsia="Times New Roman" w:cs="Times New Roman"/>
          <w:color w:val="000000" w:themeColor="text1"/>
          <w:sz w:val="24"/>
          <w:szCs w:val="24"/>
          <w14:textFill>
            <w14:solidFill>
              <w14:schemeClr w14:val="tx1"/>
            </w14:solidFill>
          </w14:textFill>
        </w:rPr>
      </w:pPr>
      <w:r>
        <w:rPr>
          <w:color w:val="000000" w:themeColor="text1"/>
          <w14:textFill>
            <w14:solidFill>
              <w14:schemeClr w14:val="tx1"/>
            </w14:solidFill>
          </w14:textFill>
        </w:rPr>
        <w:br w:type="page"/>
      </w:r>
    </w:p>
    <w:p w14:paraId="2900BCC5">
      <w:pPr>
        <w:pStyle w:val="19"/>
        <w:spacing w:after="0" w:afterAutospacing="0" w:line="480" w:lineRule="auto"/>
        <w:jc w:val="both"/>
      </w:pPr>
      <w:r>
        <w:rPr>
          <w:color w:val="000000" w:themeColor="text1"/>
          <w14:textFill>
            <w14:solidFill>
              <w14:schemeClr w14:val="tx1"/>
            </w14:solidFill>
          </w14:textFill>
        </w:rPr>
        <w:t xml:space="preserve">The need to compare the antibacterial potency of </w:t>
      </w:r>
      <w:r>
        <w:rPr>
          <w:rStyle w:val="15"/>
          <w:rFonts w:eastAsiaTheme="majorEastAsia"/>
          <w:color w:val="000000" w:themeColor="text1"/>
          <w14:textFill>
            <w14:solidFill>
              <w14:schemeClr w14:val="tx1"/>
            </w14:solidFill>
          </w14:textFill>
        </w:rPr>
        <w:t>Boscia angustifolia</w:t>
      </w:r>
      <w:r>
        <w:rPr>
          <w:color w:val="000000" w:themeColor="text1"/>
          <w14:textFill>
            <w14:solidFill>
              <w14:schemeClr w14:val="tx1"/>
            </w14:solidFill>
          </w14:textFill>
        </w:rPr>
        <w:t xml:space="preserve"> extract with a standard antibiotic, such as ciprofloxacin, to determine whether the plant can serve as a complementary or alternative antimicrobial option. With increasing calls for natural product-based solutions to combat antimicrobial resistance (Chaughule and Barve, 2024), this research provides timely and relevant data. Therefore, the study is essential for expanding scientific knowledge, validating traditional medicinal practices, and contributing to ongoing efforts to develop new </w:t>
      </w:r>
      <w:r>
        <w:t>antibacterial agents from plant sources.</w:t>
      </w:r>
    </w:p>
    <w:p w14:paraId="6E8F8B17">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p>
    <w:p w14:paraId="3752DF93">
      <w:pPr>
        <w:spacing w:before="240"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br w:type="page"/>
      </w:r>
    </w:p>
    <w:p w14:paraId="0157D290">
      <w:pPr>
        <w:pStyle w:val="2"/>
        <w:spacing w:before="0" w:after="0" w:line="480" w:lineRule="auto"/>
        <w:jc w:val="center"/>
        <w:rPr>
          <w:rStyle w:val="20"/>
          <w:b/>
          <w:bCs w:val="0"/>
        </w:rPr>
      </w:pPr>
      <w:bookmarkStart w:id="26" w:name="_Toc215016054"/>
      <w:bookmarkStart w:id="27" w:name="_Toc215132351"/>
      <w:r>
        <w:rPr>
          <w:rStyle w:val="20"/>
          <w:b/>
          <w:bCs w:val="0"/>
        </w:rPr>
        <w:t>CHAPTER TWO</w:t>
      </w:r>
      <w:bookmarkEnd w:id="26"/>
      <w:bookmarkEnd w:id="27"/>
    </w:p>
    <w:p w14:paraId="21358EB8">
      <w:pPr>
        <w:pStyle w:val="2"/>
        <w:spacing w:before="0" w:after="0" w:line="480" w:lineRule="auto"/>
        <w:jc w:val="center"/>
      </w:pPr>
      <w:bookmarkStart w:id="28" w:name="_Toc215016055"/>
      <w:bookmarkStart w:id="29" w:name="_Toc215132352"/>
      <w:r>
        <w:rPr>
          <w:rStyle w:val="20"/>
          <w:b/>
          <w:bCs w:val="0"/>
        </w:rPr>
        <w:t>LITERATURE REVIEW</w:t>
      </w:r>
      <w:bookmarkEnd w:id="28"/>
      <w:bookmarkEnd w:id="29"/>
    </w:p>
    <w:p w14:paraId="1EB0E95C">
      <w:pPr>
        <w:pStyle w:val="2"/>
        <w:spacing w:after="0" w:line="480" w:lineRule="auto"/>
      </w:pPr>
      <w:bookmarkStart w:id="30" w:name="_Toc215016056"/>
      <w:bookmarkStart w:id="31" w:name="_Toc215132353"/>
      <w:r>
        <w:rPr>
          <w:rStyle w:val="20"/>
          <w:b/>
          <w:bCs w:val="0"/>
        </w:rPr>
        <w:t>2.1</w:t>
      </w:r>
      <w:r>
        <w:rPr>
          <w:rStyle w:val="20"/>
          <w:b/>
          <w:bCs w:val="0"/>
        </w:rPr>
        <w:tab/>
      </w:r>
      <w:r>
        <w:rPr>
          <w:rStyle w:val="20"/>
          <w:b/>
          <w:bCs w:val="0"/>
        </w:rPr>
        <w:t>Concept of Antibacterial Agents</w:t>
      </w:r>
      <w:bookmarkEnd w:id="30"/>
      <w:bookmarkEnd w:id="31"/>
    </w:p>
    <w:p w14:paraId="03F53C77">
      <w:pPr>
        <w:pStyle w:val="19"/>
        <w:spacing w:before="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Antibacterial agents are substances that inhibit the growth or kill bacteria by targeting vital cellular processes. They can be natural, synthetic, or semi-synthetic, and their effectiveness lies in their ability to interfere with specific bacterial structures or metabolic pathways (</w:t>
      </w:r>
      <w:r>
        <w:t>Tauchen</w:t>
      </w:r>
      <w:r>
        <w:rPr>
          <w:i/>
          <w:iCs/>
          <w:color w:val="000000" w:themeColor="text1"/>
          <w14:textFill>
            <w14:solidFill>
              <w14:schemeClr w14:val="tx1"/>
            </w14:solidFill>
          </w14:textFill>
        </w:rPr>
        <w:t xml:space="preserve"> et al.,</w:t>
      </w:r>
      <w:r>
        <w:rPr>
          <w:color w:val="000000" w:themeColor="text1"/>
          <w14:textFill>
            <w14:solidFill>
              <w14:schemeClr w14:val="tx1"/>
            </w14:solidFill>
          </w14:textFill>
        </w:rPr>
        <w:t xml:space="preserve"> 2025). These agents are commonly classified based on their mode of action or their chemical structure. For instance, some antibiotics disrupt bacterial cell wall synthesis, while others interfere with protein or nucleic acid synthesis (</w:t>
      </w:r>
      <w:r>
        <w:t xml:space="preserve">Bhattacharjee, 2025). </w:t>
      </w:r>
      <w:r>
        <w:rPr>
          <w:color w:val="000000" w:themeColor="text1"/>
          <w14:textFill>
            <w14:solidFill>
              <w14:schemeClr w14:val="tx1"/>
            </w14:solidFill>
          </w14:textFill>
        </w:rPr>
        <w:t>The continuous discovery of antibacterial compounds has revolutionized medicine by reducing the global burden of infectious diseases.</w:t>
      </w:r>
    </w:p>
    <w:p w14:paraId="721D4861">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Antibacterial agents are divided into bactericidal and bacteriostatic categories. Bactericidal agents kill bacteria by irreversibly damaging essential cellular structures such as the cell wall or membrane, while bacteriostatic agents inhibit bacterial growth by interfering with vital metabolic processes without immediately killing the organism (</w:t>
      </w:r>
      <w:r>
        <w:t>Patil, &amp; Patel, 2021</w:t>
      </w:r>
      <w:r>
        <w:rPr>
          <w:color w:val="000000" w:themeColor="text1"/>
          <w14:textFill>
            <w14:solidFill>
              <w14:schemeClr w14:val="tx1"/>
            </w14:solidFill>
          </w14:textFill>
        </w:rPr>
        <w:t>). Examples include penicillin, which inhibits bacterial cell wall synthesis, and tetracycline, which interferes with protein synthesis at the ribosomal level. These mechanisms ensure selective toxicity by targeting bacterial pathways not present in human cells (</w:t>
      </w:r>
      <w:r>
        <w:t>Dalhoff, 2021)</w:t>
      </w:r>
    </w:p>
    <w:p w14:paraId="686E9AB3">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The classification of antibacterial drugs also extends to generations and spectrums of activity. Narrow-spectrum antibiotics are specific to certain bacterial groups, while broad-spectrum antibiotics act against a wide range of Gram-positive and Gram-negative bacteria (</w:t>
      </w:r>
      <w:r>
        <w:t xml:space="preserve">Gauba &amp; Rahman, 2023). </w:t>
      </w:r>
      <w:r>
        <w:rPr>
          <w:color w:val="000000" w:themeColor="text1"/>
          <w14:textFill>
            <w14:solidFill>
              <w14:schemeClr w14:val="tx1"/>
            </w14:solidFill>
          </w14:textFill>
        </w:rPr>
        <w:t>However, the misuse of broad-spectrum antibiotics often accelerates the development of resistance. Consequently, the development of novel antibacterial, particularly from natural sources such as medicinal plants, is a growing area of research interest (</w:t>
      </w:r>
      <w:r>
        <w:t xml:space="preserve">Abdallah </w:t>
      </w:r>
      <w:r>
        <w:rPr>
          <w:i/>
          <w:iCs/>
        </w:rPr>
        <w:t xml:space="preserve">et al., </w:t>
      </w:r>
      <w:r>
        <w:rPr>
          <w:color w:val="000000" w:themeColor="text1"/>
          <w14:textFill>
            <w14:solidFill>
              <w14:schemeClr w14:val="tx1"/>
            </w14:solidFill>
          </w14:textFill>
        </w:rPr>
        <w:t>2023).</w:t>
      </w:r>
    </w:p>
    <w:p w14:paraId="7631A502">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Medicinal plants, including </w:t>
      </w:r>
      <w:r>
        <w:rPr>
          <w:rStyle w:val="15"/>
          <w:rFonts w:eastAsiaTheme="majorEastAsia"/>
          <w:color w:val="000000" w:themeColor="text1"/>
          <w14:textFill>
            <w14:solidFill>
              <w14:schemeClr w14:val="tx1"/>
            </w14:solidFill>
          </w14:textFill>
        </w:rPr>
        <w:t xml:space="preserve">Boscia </w:t>
      </w:r>
      <w:r>
        <w:rPr>
          <w:i/>
          <w:iCs/>
          <w:color w:val="000000" w:themeColor="text1"/>
          <w14:textFill>
            <w14:solidFill>
              <w14:schemeClr w14:val="tx1"/>
            </w14:solidFill>
          </w14:textFill>
        </w:rPr>
        <w:t>angustifolia</w:t>
      </w:r>
      <w:r>
        <w:rPr>
          <w:color w:val="000000" w:themeColor="text1"/>
          <w14:textFill>
            <w14:solidFill>
              <w14:schemeClr w14:val="tx1"/>
            </w14:solidFill>
          </w14:textFill>
        </w:rPr>
        <w:t>, represent potential reservoirs of novel antibacterial agents. Unlike conventional drugs, plant-based extracts often contain multiple bioactive compounds that act synergistically to inhibit bacterial growth (</w:t>
      </w:r>
      <w:r>
        <w:t xml:space="preserve">Vaou </w:t>
      </w:r>
      <w:r>
        <w:rPr>
          <w:i/>
          <w:iCs/>
        </w:rPr>
        <w:t>et al.</w:t>
      </w:r>
      <w:r>
        <w:t xml:space="preserve">, </w:t>
      </w:r>
      <w:r>
        <w:rPr>
          <w:i/>
          <w:iCs/>
        </w:rPr>
        <w:t>2023</w:t>
      </w:r>
      <w:r>
        <w:rPr>
          <w:color w:val="000000" w:themeColor="text1"/>
          <w14:textFill>
            <w14:solidFill>
              <w14:schemeClr w14:val="tx1"/>
            </w14:solidFill>
          </w14:textFill>
        </w:rPr>
        <w:t>). Such complexity in composition may reduce the likelihood of bacteria developing resistance quickly, underscoring the importance of studying the antibacterial properties of medicinal plants and their mechanisms of action.</w:t>
      </w:r>
    </w:p>
    <w:p w14:paraId="699431B7">
      <w:pPr>
        <w:pStyle w:val="2"/>
        <w:spacing w:after="0" w:line="480" w:lineRule="auto"/>
      </w:pPr>
      <w:bookmarkStart w:id="32" w:name="_Toc215132354"/>
      <w:bookmarkStart w:id="33" w:name="_Toc215016057"/>
      <w:r>
        <w:rPr>
          <w:rStyle w:val="20"/>
          <w:b/>
          <w:bCs w:val="0"/>
        </w:rPr>
        <w:t>2.2</w:t>
      </w:r>
      <w:r>
        <w:rPr>
          <w:rStyle w:val="20"/>
          <w:b/>
          <w:bCs w:val="0"/>
        </w:rPr>
        <w:tab/>
      </w:r>
      <w:r>
        <w:rPr>
          <w:rStyle w:val="20"/>
          <w:b/>
          <w:bCs w:val="0"/>
        </w:rPr>
        <w:t>Antimicrobial Resistance and Global Health</w:t>
      </w:r>
      <w:bookmarkEnd w:id="32"/>
      <w:bookmarkEnd w:id="33"/>
    </w:p>
    <w:p w14:paraId="75441A36">
      <w:pPr>
        <w:pStyle w:val="19"/>
        <w:spacing w:before="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Antimicrobial resistance (AMR) has emerged as one of the most serious public health threats of the 21st century. According to (</w:t>
      </w:r>
      <w:r>
        <w:t>Tang</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et al.,</w:t>
      </w:r>
      <w:r>
        <w:rPr>
          <w:color w:val="000000" w:themeColor="text1"/>
          <w14:textFill>
            <w14:solidFill>
              <w14:schemeClr w14:val="tx1"/>
            </w14:solidFill>
          </w14:textFill>
        </w:rPr>
        <w:t>2023), AMR is responsible for millions of deaths annually and is projected to cause 10 million deaths per year by 2050 if left unchecked. Resistance occurs when microorganisms evolve mechanisms to withstand the effects of antimicrobial agents, rendering once-effective treatments obsolete (</w:t>
      </w:r>
      <w:r>
        <w:t xml:space="preserve">Zahoor </w:t>
      </w:r>
      <w:r>
        <w:rPr>
          <w:i/>
          <w:iCs/>
        </w:rPr>
        <w:t>et al.</w:t>
      </w:r>
      <w:r>
        <w:rPr>
          <w:color w:val="000000" w:themeColor="text1"/>
          <w14:textFill>
            <w14:solidFill>
              <w14:schemeClr w14:val="tx1"/>
            </w14:solidFill>
          </w14:textFill>
        </w:rPr>
        <w:t>, 2025). The causes of resistance are multifactorial, including misuse of antibiotics, over-the-counter availability in low- and middle-income countries, and the use of antimicrobials in agriculture.</w:t>
      </w:r>
    </w:p>
    <w:p w14:paraId="50AE7690">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The rise of multidrug-resistant (MDR) bacteria such as methicillin-resistant </w:t>
      </w:r>
      <w:r>
        <w:rPr>
          <w:rStyle w:val="15"/>
          <w:rFonts w:eastAsiaTheme="majorEastAsia"/>
          <w:color w:val="000000" w:themeColor="text1"/>
          <w14:textFill>
            <w14:solidFill>
              <w14:schemeClr w14:val="tx1"/>
            </w14:solidFill>
          </w14:textFill>
        </w:rPr>
        <w:t>Staphylococcus aureus</w:t>
      </w:r>
      <w:r>
        <w:rPr>
          <w:color w:val="000000" w:themeColor="text1"/>
          <w14:textFill>
            <w14:solidFill>
              <w14:schemeClr w14:val="tx1"/>
            </w14:solidFill>
          </w14:textFill>
        </w:rPr>
        <w:t xml:space="preserve"> (MRSA), extended-spectrum beta-lactamase (ESBL)-producing </w:t>
      </w:r>
      <w:r>
        <w:rPr>
          <w:rStyle w:val="15"/>
          <w:rFonts w:eastAsiaTheme="majorEastAsia"/>
          <w:color w:val="000000" w:themeColor="text1"/>
          <w14:textFill>
            <w14:solidFill>
              <w14:schemeClr w14:val="tx1"/>
            </w14:solidFill>
          </w14:textFill>
        </w:rPr>
        <w:t>E. coli</w:t>
      </w:r>
      <w:r>
        <w:rPr>
          <w:color w:val="000000" w:themeColor="text1"/>
          <w14:textFill>
            <w14:solidFill>
              <w14:schemeClr w14:val="tx1"/>
            </w14:solidFill>
          </w14:textFill>
        </w:rPr>
        <w:t xml:space="preserve">, and carbapenem-resistant </w:t>
      </w:r>
      <w:r>
        <w:rPr>
          <w:rStyle w:val="15"/>
          <w:rFonts w:eastAsiaTheme="majorEastAsia"/>
          <w:color w:val="000000" w:themeColor="text1"/>
          <w14:textFill>
            <w14:solidFill>
              <w14:schemeClr w14:val="tx1"/>
            </w14:solidFill>
          </w14:textFill>
        </w:rPr>
        <w:t>Klebsiella pneumoniae</w:t>
      </w:r>
      <w:r>
        <w:rPr>
          <w:color w:val="000000" w:themeColor="text1"/>
          <w14:textFill>
            <w14:solidFill>
              <w14:schemeClr w14:val="tx1"/>
            </w14:solidFill>
          </w14:textFill>
        </w:rPr>
        <w:t xml:space="preserve"> has complicated the treatment of common infections (</w:t>
      </w:r>
      <w:r>
        <w:t xml:space="preserve">Tilahun, 2022). </w:t>
      </w:r>
      <w:r>
        <w:rPr>
          <w:color w:val="000000" w:themeColor="text1"/>
          <w14:textFill>
            <w14:solidFill>
              <w14:schemeClr w14:val="tx1"/>
            </w14:solidFill>
          </w14:textFill>
        </w:rPr>
        <w:t>These organisms contribute to prolonged hospital stays, increased healthcare costs, and higher mortality rates. In sub-Saharan Africa, weak health systems and unregulated use of antibiotics exacerbate the AMR crisis (</w:t>
      </w:r>
      <w:r>
        <w:t>Totaro</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2025).</w:t>
      </w:r>
    </w:p>
    <w:p w14:paraId="50075059">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The economic and social implications of AMR are equally alarming. By reducing the effectiveness of treatments, resistance undermines surgical procedures, cancer therapy, and even maternal and child health interventions that depend on reliable antibiotics (</w:t>
      </w:r>
      <w:r>
        <w:t>Muteeb</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2023). This global challenge has led to urgent calls for the discovery of new classes of antimicrobials, particularly from natural sources.</w:t>
      </w:r>
    </w:p>
    <w:p w14:paraId="43A23E99">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Plant-derived compounds, such as those from </w:t>
      </w:r>
      <w:r>
        <w:rPr>
          <w:rStyle w:val="15"/>
          <w:rFonts w:eastAsiaTheme="majorEastAsia"/>
          <w:color w:val="000000" w:themeColor="text1"/>
          <w14:textFill>
            <w14:solidFill>
              <w14:schemeClr w14:val="tx1"/>
            </w14:solidFill>
          </w14:textFill>
        </w:rPr>
        <w:t xml:space="preserve">Boscia </w:t>
      </w:r>
      <w:r>
        <w:rPr>
          <w:i/>
          <w:iCs/>
          <w:color w:val="000000" w:themeColor="text1"/>
          <w14:textFill>
            <w14:solidFill>
              <w14:schemeClr w14:val="tx1"/>
            </w14:solidFill>
          </w14:textFill>
        </w:rPr>
        <w:t>angustifolia</w:t>
      </w:r>
      <w:r>
        <w:rPr>
          <w:color w:val="000000" w:themeColor="text1"/>
          <w14:textFill>
            <w14:solidFill>
              <w14:schemeClr w14:val="tx1"/>
            </w14:solidFill>
          </w14:textFill>
        </w:rPr>
        <w:t>, offer a promising solution to the AMR crisis. Unlike synthetic antibiotics that often act on single targets, plant extracts contain diverse phytochemicals capable of targeting multiple bacterial pathways simultaneously (</w:t>
      </w:r>
      <w:r>
        <w:t xml:space="preserve">Angelini, 2024). </w:t>
      </w:r>
      <w:r>
        <w:rPr>
          <w:color w:val="000000" w:themeColor="text1"/>
          <w14:textFill>
            <w14:solidFill>
              <w14:schemeClr w14:val="tx1"/>
            </w14:solidFill>
          </w14:textFill>
        </w:rPr>
        <w:t>This multifaceted action reduces the likelihood of resistance and makes plants valuable candidates for developing next-generation antibacterial drugs.</w:t>
      </w:r>
    </w:p>
    <w:p w14:paraId="42484C5F">
      <w:pPr>
        <w:pStyle w:val="2"/>
        <w:spacing w:after="0" w:line="480" w:lineRule="auto"/>
      </w:pPr>
      <w:bookmarkStart w:id="34" w:name="_Toc215016058"/>
      <w:bookmarkStart w:id="35" w:name="_Toc215132355"/>
      <w:r>
        <w:rPr>
          <w:rStyle w:val="20"/>
          <w:b/>
          <w:bCs w:val="0"/>
        </w:rPr>
        <w:t>2.3</w:t>
      </w:r>
      <w:r>
        <w:rPr>
          <w:rStyle w:val="20"/>
          <w:b/>
          <w:bCs w:val="0"/>
        </w:rPr>
        <w:tab/>
      </w:r>
      <w:r>
        <w:rPr>
          <w:rStyle w:val="20"/>
          <w:b/>
          <w:bCs w:val="0"/>
        </w:rPr>
        <w:t>Medicinal Plants as Sources of Antibacterial Compounds</w:t>
      </w:r>
      <w:bookmarkEnd w:id="34"/>
      <w:bookmarkEnd w:id="35"/>
    </w:p>
    <w:p w14:paraId="6AA6BBB7">
      <w:pPr>
        <w:pStyle w:val="19"/>
        <w:spacing w:before="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Medicinal plants have long been recognized as invaluable sources of therapeutic agents. Historical evidence shows that more than 80% of the world’s population, particularly in developing countries, relies on traditional medicine for primary healthcare needs (</w:t>
      </w:r>
      <w:r>
        <w:t>Napagoda &amp; Wijesundara, 2022</w:t>
      </w:r>
      <w:r>
        <w:rPr>
          <w:color w:val="000000" w:themeColor="text1"/>
          <w14:textFill>
            <w14:solidFill>
              <w14:schemeClr w14:val="tx1"/>
            </w14:solidFill>
          </w14:textFill>
        </w:rPr>
        <w:t xml:space="preserve">). Many modern drugs, including antibiotics, trace their origins to natural compounds isolated from plants and microorganisms. For example, quinine from </w:t>
      </w:r>
      <w:r>
        <w:rPr>
          <w:rStyle w:val="15"/>
          <w:rFonts w:eastAsiaTheme="majorEastAsia"/>
          <w:color w:val="000000" w:themeColor="text1"/>
          <w14:textFill>
            <w14:solidFill>
              <w14:schemeClr w14:val="tx1"/>
            </w14:solidFill>
          </w14:textFill>
        </w:rPr>
        <w:t>Cinchona</w:t>
      </w:r>
      <w:r>
        <w:rPr>
          <w:color w:val="000000" w:themeColor="text1"/>
          <w14:textFill>
            <w14:solidFill>
              <w14:schemeClr w14:val="tx1"/>
            </w14:solidFill>
          </w14:textFill>
        </w:rPr>
        <w:t xml:space="preserve"> bark and artemisinin from </w:t>
      </w:r>
      <w:r>
        <w:rPr>
          <w:rStyle w:val="15"/>
          <w:rFonts w:eastAsiaTheme="majorEastAsia"/>
          <w:color w:val="000000" w:themeColor="text1"/>
          <w14:textFill>
            <w14:solidFill>
              <w14:schemeClr w14:val="tx1"/>
            </w14:solidFill>
          </w14:textFill>
        </w:rPr>
        <w:t>Artemisia annua</w:t>
      </w:r>
      <w:r>
        <w:rPr>
          <w:color w:val="000000" w:themeColor="text1"/>
          <w14:textFill>
            <w14:solidFill>
              <w14:schemeClr w14:val="tx1"/>
            </w14:solidFill>
          </w14:textFill>
        </w:rPr>
        <w:t xml:space="preserve"> revolutionized the treatment of malaria (</w:t>
      </w:r>
      <w:r>
        <w:t>Guchait</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2023). This highlights the untapped potential of medicinal plants in modern drug discovery.</w:t>
      </w:r>
    </w:p>
    <w:p w14:paraId="197C4834">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The antibacterial properties of medicinal plants are primarily due to the presence of secondary metabolites such as alkaloids, flavonoids, tannins, saponins, terpenes, and polyphenols. These compounds often exhibit broad-spectrum activity by disrupting bacterial membranes, inhibiting enzymes, or scavenging free radicals that aid bacterial survival (</w:t>
      </w:r>
      <w:r>
        <w:t>Rahman</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2021). Studies have shown that polyphenolic compounds can disrupt bacterial quorum sensing, thereby inhibiting communication between bacterial cells and reducing virulence (</w:t>
      </w:r>
      <w:r>
        <w:t>Suriyaprom</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2022).</w:t>
      </w:r>
    </w:p>
    <w:p w14:paraId="4FEABBDF">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Several plant extracts have been successfully tested against multidrug-resistant pathogens. For instance, </w:t>
      </w:r>
      <w:r>
        <w:rPr>
          <w:rStyle w:val="15"/>
          <w:rFonts w:eastAsiaTheme="majorEastAsia"/>
          <w:color w:val="000000" w:themeColor="text1"/>
          <w14:textFill>
            <w14:solidFill>
              <w14:schemeClr w14:val="tx1"/>
            </w14:solidFill>
          </w14:textFill>
        </w:rPr>
        <w:t>Azadirachta indica</w:t>
      </w:r>
      <w:r>
        <w:rPr>
          <w:color w:val="000000" w:themeColor="text1"/>
          <w14:textFill>
            <w14:solidFill>
              <w14:schemeClr w14:val="tx1"/>
            </w14:solidFill>
          </w14:textFill>
        </w:rPr>
        <w:t xml:space="preserve"> (neem), </w:t>
      </w:r>
      <w:r>
        <w:rPr>
          <w:rStyle w:val="15"/>
          <w:rFonts w:eastAsiaTheme="majorEastAsia"/>
          <w:color w:val="000000" w:themeColor="text1"/>
          <w14:textFill>
            <w14:solidFill>
              <w14:schemeClr w14:val="tx1"/>
            </w14:solidFill>
          </w14:textFill>
        </w:rPr>
        <w:t>Moringa oleifera</w:t>
      </w:r>
      <w:r>
        <w:rPr>
          <w:color w:val="000000" w:themeColor="text1"/>
          <w14:textFill>
            <w14:solidFill>
              <w14:schemeClr w14:val="tx1"/>
            </w14:solidFill>
          </w14:textFill>
        </w:rPr>
        <w:t xml:space="preserve">, and </w:t>
      </w:r>
      <w:r>
        <w:rPr>
          <w:rStyle w:val="15"/>
          <w:rFonts w:eastAsiaTheme="majorEastAsia"/>
          <w:color w:val="000000" w:themeColor="text1"/>
          <w14:textFill>
            <w14:solidFill>
              <w14:schemeClr w14:val="tx1"/>
            </w14:solidFill>
          </w14:textFill>
        </w:rPr>
        <w:t>Allium sativum</w:t>
      </w:r>
      <w:r>
        <w:rPr>
          <w:color w:val="000000" w:themeColor="text1"/>
          <w14:textFill>
            <w14:solidFill>
              <w14:schemeClr w14:val="tx1"/>
            </w14:solidFill>
          </w14:textFill>
        </w:rPr>
        <w:t xml:space="preserve"> (garlic) are reported to inhibit both Gram-positive and Gram-negative bacteria (</w:t>
      </w:r>
      <w:r>
        <w:t xml:space="preserve">Alvarino </w:t>
      </w:r>
      <w:r>
        <w:rPr>
          <w:i/>
          <w:iCs/>
        </w:rPr>
        <w:t>et al.</w:t>
      </w:r>
      <w:r>
        <w:rPr>
          <w:color w:val="000000" w:themeColor="text1"/>
          <w14:textFill>
            <w14:solidFill>
              <w14:schemeClr w14:val="tx1"/>
            </w14:solidFill>
          </w14:textFill>
        </w:rPr>
        <w:t xml:space="preserve">, 2023). Such evidence supports the continued exploration of underutilized plants like </w:t>
      </w:r>
      <w:r>
        <w:rPr>
          <w:rStyle w:val="15"/>
          <w:rFonts w:eastAsiaTheme="majorEastAsia"/>
          <w:color w:val="000000" w:themeColor="text1"/>
          <w14:textFill>
            <w14:solidFill>
              <w14:schemeClr w14:val="tx1"/>
            </w14:solidFill>
          </w14:textFill>
        </w:rPr>
        <w:t xml:space="preserve">Boscia </w:t>
      </w:r>
      <w:r>
        <w:rPr>
          <w:i/>
          <w:iCs/>
          <w:color w:val="000000" w:themeColor="text1"/>
          <w14:textFill>
            <w14:solidFill>
              <w14:schemeClr w14:val="tx1"/>
            </w14:solidFill>
          </w14:textFill>
        </w:rPr>
        <w:t>angustifolia</w:t>
      </w:r>
      <w:r>
        <w:rPr>
          <w:color w:val="000000" w:themeColor="text1"/>
          <w14:textFill>
            <w14:solidFill>
              <w14:schemeClr w14:val="tx1"/>
            </w14:solidFill>
          </w14:textFill>
        </w:rPr>
        <w:t xml:space="preserve"> for potential antibacterial agents.</w:t>
      </w:r>
    </w:p>
    <w:p w14:paraId="7B3630B3">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Unlike synthetic antibiotics, medicinal plant extracts often exhibit synergistic effects due to the combined action of multiple bioactive molecules (</w:t>
      </w:r>
      <w:r>
        <w:t xml:space="preserve">Herman &amp; Herman, 2023). </w:t>
      </w:r>
      <w:r>
        <w:rPr>
          <w:color w:val="000000" w:themeColor="text1"/>
          <w14:textFill>
            <w14:solidFill>
              <w14:schemeClr w14:val="tx1"/>
            </w14:solidFill>
          </w14:textFill>
        </w:rPr>
        <w:t>This not only enhances antibacterial efficacy but may also delay the development of resistance. Therefore, the phytochemical complexity of medicinal plants makes them promising candidates in the ongoing fight against bacterial infections and resistance.</w:t>
      </w:r>
    </w:p>
    <w:p w14:paraId="68F7494C">
      <w:pPr>
        <w:pStyle w:val="2"/>
        <w:spacing w:after="0" w:line="480" w:lineRule="auto"/>
      </w:pPr>
      <w:bookmarkStart w:id="36" w:name="_Toc215016059"/>
      <w:bookmarkStart w:id="37" w:name="_Toc215132356"/>
      <w:r>
        <w:rPr>
          <w:rStyle w:val="20"/>
          <w:b/>
          <w:bCs w:val="0"/>
        </w:rPr>
        <w:t>2.4</w:t>
      </w:r>
      <w:r>
        <w:rPr>
          <w:rStyle w:val="20"/>
          <w:b/>
          <w:bCs w:val="0"/>
        </w:rPr>
        <w:tab/>
      </w:r>
      <w:r>
        <w:rPr>
          <w:rStyle w:val="20"/>
          <w:b/>
          <w:bCs w:val="0"/>
          <w:i/>
          <w:iCs/>
        </w:rPr>
        <w:t>Boscia</w:t>
      </w:r>
      <w:r>
        <w:t xml:space="preserve"> </w:t>
      </w:r>
      <w:r>
        <w:rPr>
          <w:i/>
          <w:iCs/>
        </w:rPr>
        <w:t>angustifolia</w:t>
      </w:r>
      <w:bookmarkEnd w:id="36"/>
      <w:bookmarkEnd w:id="37"/>
    </w:p>
    <w:p w14:paraId="71C3D5A1">
      <w:pPr>
        <w:pStyle w:val="19"/>
        <w:spacing w:before="0" w:beforeAutospacing="0" w:after="0" w:afterAutospacing="0" w:line="480" w:lineRule="auto"/>
        <w:jc w:val="both"/>
        <w:rPr>
          <w:color w:val="000000" w:themeColor="text1"/>
          <w14:textFill>
            <w14:solidFill>
              <w14:schemeClr w14:val="tx1"/>
            </w14:solidFill>
          </w14:textFill>
        </w:rPr>
      </w:pPr>
      <w:r>
        <w:rPr>
          <w:rStyle w:val="15"/>
          <w:rFonts w:eastAsiaTheme="majorEastAsia"/>
          <w:color w:val="000000" w:themeColor="text1"/>
          <w14:textFill>
            <w14:solidFill>
              <w14:schemeClr w14:val="tx1"/>
            </w14:solidFill>
          </w14:textFill>
        </w:rPr>
        <w:t xml:space="preserve">Boscia </w:t>
      </w:r>
      <w:r>
        <w:rPr>
          <w:i/>
          <w:iCs/>
          <w:color w:val="000000" w:themeColor="text1"/>
          <w14:textFill>
            <w14:solidFill>
              <w14:schemeClr w14:val="tx1"/>
            </w14:solidFill>
          </w14:textFill>
        </w:rPr>
        <w:t>angustifolia</w:t>
      </w:r>
      <w:r>
        <w:rPr>
          <w:color w:val="000000" w:themeColor="text1"/>
          <w14:textFill>
            <w14:solidFill>
              <w14:schemeClr w14:val="tx1"/>
            </w14:solidFill>
          </w14:textFill>
        </w:rPr>
        <w:t>, commonly known as “Hanza” or “Anza,” is a drought-tolerant shrub native to arid regions of West and Central Africa (</w:t>
      </w:r>
      <w:r>
        <w:t xml:space="preserve">Ousmane </w:t>
      </w:r>
      <w:r>
        <w:rPr>
          <w:i/>
          <w:iCs/>
        </w:rPr>
        <w:t xml:space="preserve">et al., </w:t>
      </w:r>
      <w:r>
        <w:t>2023)</w:t>
      </w:r>
      <w:r>
        <w:rPr>
          <w:color w:val="000000" w:themeColor="text1"/>
          <w14:textFill>
            <w14:solidFill>
              <w14:schemeClr w14:val="tx1"/>
            </w14:solidFill>
          </w14:textFill>
        </w:rPr>
        <w:t>. Belonging to the family Capparaceae, the plant plays an important ecological and socio-economic role in the Sahel region. Its seeds are used as food during famine periods, while different plant parts are employed in traditional medicine to treat infections, gastrointestinal disorders, and inflammatory conditions (</w:t>
      </w:r>
      <w:r>
        <w:t xml:space="preserve">Sun </w:t>
      </w:r>
      <w:r>
        <w:rPr>
          <w:i/>
          <w:iCs/>
        </w:rPr>
        <w:t xml:space="preserve">et al., </w:t>
      </w:r>
      <w:r>
        <w:t>2021</w:t>
      </w:r>
      <w:r>
        <w:rPr>
          <w:color w:val="000000" w:themeColor="text1"/>
          <w14:textFill>
            <w14:solidFill>
              <w14:schemeClr w14:val="tx1"/>
            </w14:solidFill>
          </w14:textFill>
        </w:rPr>
        <w:t>).</w:t>
      </w:r>
    </w:p>
    <w:p w14:paraId="00E76659">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Phytochemical studies have revealed that </w:t>
      </w:r>
      <w:r>
        <w:rPr>
          <w:rStyle w:val="15"/>
          <w:rFonts w:eastAsiaTheme="majorEastAsia"/>
          <w:color w:val="000000" w:themeColor="text1"/>
          <w14:textFill>
            <w14:solidFill>
              <w14:schemeClr w14:val="tx1"/>
            </w14:solidFill>
          </w14:textFill>
        </w:rPr>
        <w:t xml:space="preserve">B. </w:t>
      </w:r>
      <w:r>
        <w:rPr>
          <w:i/>
          <w:iCs/>
          <w:color w:val="000000" w:themeColor="text1"/>
          <w14:textFill>
            <w14:solidFill>
              <w14:schemeClr w14:val="tx1"/>
            </w14:solidFill>
          </w14:textFill>
        </w:rPr>
        <w:t>angustifolia</w:t>
      </w:r>
      <w:r>
        <w:rPr>
          <w:color w:val="000000" w:themeColor="text1"/>
          <w14:textFill>
            <w14:solidFill>
              <w14:schemeClr w14:val="tx1"/>
            </w14:solidFill>
          </w14:textFill>
        </w:rPr>
        <w:t xml:space="preserve"> is rich in alkaloids, flavonoids, saponins, tannins, and sterols, compounds known for their antimicrobial and antioxidant properties (Vougat Ngom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2021). Ethanolic and aqueous extracts of its seeds and bark have demonstrated antibacterial activity against common pathogens, suggesting that its pharmacological potential is linked to these bioactive compounds (Essa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2021).</w:t>
      </w:r>
    </w:p>
    <w:p w14:paraId="484E0454">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Traditional uses of </w:t>
      </w:r>
      <w:r>
        <w:rPr>
          <w:rStyle w:val="15"/>
          <w:rFonts w:eastAsiaTheme="majorEastAsia"/>
          <w:color w:val="000000" w:themeColor="text1"/>
          <w14:textFill>
            <w14:solidFill>
              <w14:schemeClr w14:val="tx1"/>
            </w14:solidFill>
          </w14:textFill>
        </w:rPr>
        <w:t xml:space="preserve">B. </w:t>
      </w:r>
      <w:r>
        <w:rPr>
          <w:i/>
          <w:iCs/>
          <w:color w:val="000000" w:themeColor="text1"/>
          <w14:textFill>
            <w14:solidFill>
              <w14:schemeClr w14:val="tx1"/>
            </w14:solidFill>
          </w14:textFill>
        </w:rPr>
        <w:t>angustifolia</w:t>
      </w:r>
      <w:r>
        <w:rPr>
          <w:color w:val="000000" w:themeColor="text1"/>
          <w14:textFill>
            <w14:solidFill>
              <w14:schemeClr w14:val="tx1"/>
            </w14:solidFill>
          </w14:textFill>
        </w:rPr>
        <w:t xml:space="preserve"> align with scientific findings. For example, in Niger and Chad, decoctions from its roots and bark are used to treat diarrhea and dysentery, conditions often associated with bacterial infections (</w:t>
      </w:r>
      <w:r>
        <w:t>Obiang</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2022). Scientific validation of these ethnomedicinal applications enhances the credibility of traditional knowledge and paves the way for potential drug development.</w:t>
      </w:r>
    </w:p>
    <w:p w14:paraId="7408D37E">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Despite these promising findings, limited studies have explored the exact mechanisms of antibacterial action of </w:t>
      </w:r>
      <w:r>
        <w:rPr>
          <w:rStyle w:val="15"/>
          <w:rFonts w:eastAsiaTheme="majorEastAsia"/>
          <w:color w:val="000000" w:themeColor="text1"/>
          <w14:textFill>
            <w14:solidFill>
              <w14:schemeClr w14:val="tx1"/>
            </w14:solidFill>
          </w14:textFill>
        </w:rPr>
        <w:t xml:space="preserve">B. </w:t>
      </w:r>
      <w:r>
        <w:rPr>
          <w:i/>
          <w:iCs/>
          <w:color w:val="000000" w:themeColor="text1"/>
          <w14:textFill>
            <w14:solidFill>
              <w14:schemeClr w14:val="tx1"/>
            </w14:solidFill>
          </w14:textFill>
        </w:rPr>
        <w:t>angustifolia</w:t>
      </w:r>
      <w:r>
        <w:rPr>
          <w:color w:val="000000" w:themeColor="text1"/>
          <w14:textFill>
            <w14:solidFill>
              <w14:schemeClr w14:val="tx1"/>
            </w14:solidFill>
          </w14:textFill>
        </w:rPr>
        <w:t>. Most research has focused on demonstrating inhibitory effects without further characterizing whether the extracts act through membrane disruption, enzyme inhibition, or interference with nucleic acid synthesis. This gap highlights the need for mechanistic investigations, which this study aims to address.</w:t>
      </w:r>
    </w:p>
    <w:p w14:paraId="11A6914C">
      <w:pPr>
        <w:pStyle w:val="2"/>
        <w:spacing w:after="0" w:line="480" w:lineRule="auto"/>
      </w:pPr>
      <w:bookmarkStart w:id="38" w:name="_Toc215016060"/>
      <w:bookmarkStart w:id="39" w:name="_Toc215132357"/>
      <w:r>
        <w:rPr>
          <w:rStyle w:val="20"/>
          <w:b/>
          <w:bCs w:val="0"/>
        </w:rPr>
        <w:t>2.5</w:t>
      </w:r>
      <w:r>
        <w:rPr>
          <w:rStyle w:val="20"/>
          <w:b/>
          <w:bCs w:val="0"/>
        </w:rPr>
        <w:tab/>
      </w:r>
      <w:r>
        <w:rPr>
          <w:rStyle w:val="20"/>
          <w:b/>
          <w:bCs w:val="0"/>
        </w:rPr>
        <w:t>Antibacterial Mechanisms of Plant Extracts</w:t>
      </w:r>
      <w:bookmarkEnd w:id="38"/>
      <w:bookmarkEnd w:id="39"/>
    </w:p>
    <w:p w14:paraId="3E20C24A">
      <w:pPr>
        <w:pStyle w:val="19"/>
        <w:spacing w:before="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The antibacterial activity of plant extracts can be attributed to their ability to target multiple sites within bacterial cells. One of the most common mechanisms is disruption of the bacterial cell wall or cell membrane. Compounds such as saponins and phenolics interact with lipid bilayers, increasing membrane permeability and causing leakage of essential intracellular components (</w:t>
      </w:r>
      <w:r>
        <w:t>Karonen, 2022</w:t>
      </w:r>
      <w:r>
        <w:rPr>
          <w:color w:val="000000" w:themeColor="text1"/>
          <w14:textFill>
            <w14:solidFill>
              <w14:schemeClr w14:val="tx1"/>
            </w14:solidFill>
          </w14:textFill>
        </w:rPr>
        <w:t>). This results in bacterial cell death and explains the strong activity of many plant extracts against Gram-positive bacteria.</w:t>
      </w:r>
    </w:p>
    <w:p w14:paraId="09CA54C5">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Another important mechanism involves the inhibition of bacterial enzymes. Flavonoids and alkaloids have been shown to inhibit enzymes critical for DNA replication and protein synthesis, thereby impairing bacterial growth and survival (</w:t>
      </w:r>
      <w:r>
        <w:t xml:space="preserve">Donadio </w:t>
      </w:r>
      <w:r>
        <w:rPr>
          <w:i/>
          <w:iCs/>
        </w:rPr>
        <w:t xml:space="preserve">et al., </w:t>
      </w:r>
      <w:r>
        <w:t>2021</w:t>
      </w:r>
      <w:r>
        <w:rPr>
          <w:color w:val="000000" w:themeColor="text1"/>
          <w14:textFill>
            <w14:solidFill>
              <w14:schemeClr w14:val="tx1"/>
            </w14:solidFill>
          </w14:textFill>
        </w:rPr>
        <w:t>). For example, certain flavonoids can inhibit DNA gyrase, a key enzyme involved in bacterial DNA replication, while tannins are known to inactivate bacterial adhesins, enzymes, and cell envelope transport proteins (</w:t>
      </w:r>
      <w:r>
        <w:t xml:space="preserve">Liu </w:t>
      </w:r>
      <w:r>
        <w:rPr>
          <w:i/>
          <w:iCs/>
        </w:rPr>
        <w:t xml:space="preserve">et al., </w:t>
      </w:r>
      <w:r>
        <w:t>2022</w:t>
      </w:r>
      <w:r>
        <w:rPr>
          <w:color w:val="000000" w:themeColor="text1"/>
          <w14:textFill>
            <w14:solidFill>
              <w14:schemeClr w14:val="tx1"/>
            </w14:solidFill>
          </w14:textFill>
        </w:rPr>
        <w:t>).</w:t>
      </w:r>
    </w:p>
    <w:p w14:paraId="3222D2C6">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Some plant compounds interfere with quorum sensing, a bacterial communication system that regulates virulence factor production and biofilm formation. Polyphenolic compounds, in particular, are effective in disrupting these communication pathways, reducing pathogenicity without necessarily killing the bacteria outright (</w:t>
      </w:r>
      <w:r>
        <w:t>Ecevit</w:t>
      </w:r>
      <w:r>
        <w:rPr>
          <w:i/>
          <w:iCs/>
          <w:color w:val="000000" w:themeColor="text1"/>
          <w14:textFill>
            <w14:solidFill>
              <w14:schemeClr w14:val="tx1"/>
            </w14:solidFill>
          </w14:textFill>
        </w:rPr>
        <w:t xml:space="preserve"> et al.,</w:t>
      </w:r>
      <w:r>
        <w:rPr>
          <w:color w:val="000000" w:themeColor="text1"/>
          <w14:textFill>
            <w14:solidFill>
              <w14:schemeClr w14:val="tx1"/>
            </w14:solidFill>
          </w14:textFill>
        </w:rPr>
        <w:t xml:space="preserve"> 2022). This mechanism is of interest as it reduces the selective pressure for resistance development.</w:t>
      </w:r>
    </w:p>
    <w:p w14:paraId="7CFCBB29">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The synergistic action of multiple compounds in plant extracts makes them particularly potent. For example, the combination of alkaloids and terpenoids may simultaneously damage bacterial membranes and inhibit protein synthesis (</w:t>
      </w:r>
      <w:r>
        <w:t>Makarewicz</w:t>
      </w:r>
      <w:r>
        <w:rPr>
          <w:i/>
          <w:iCs/>
          <w:color w:val="000000" w:themeColor="text1"/>
          <w14:textFill>
            <w14:solidFill>
              <w14:schemeClr w14:val="tx1"/>
            </w14:solidFill>
          </w14:textFill>
        </w:rPr>
        <w:t xml:space="preserve"> et al.,</w:t>
      </w:r>
      <w:r>
        <w:rPr>
          <w:color w:val="000000" w:themeColor="text1"/>
          <w14:textFill>
            <w14:solidFill>
              <w14:schemeClr w14:val="tx1"/>
            </w14:solidFill>
          </w14:textFill>
        </w:rPr>
        <w:t xml:space="preserve"> 2021). This multi-targeted approach is a key advantage of plant-derived antibacterial and offers valuable insights for the development of new therapeutic agents.</w:t>
      </w:r>
    </w:p>
    <w:p w14:paraId="06A50DCF">
      <w:pPr>
        <w:pStyle w:val="2"/>
        <w:spacing w:after="0" w:line="480" w:lineRule="auto"/>
      </w:pPr>
      <w:bookmarkStart w:id="40" w:name="_Toc215016061"/>
      <w:bookmarkStart w:id="41" w:name="_Toc215132358"/>
      <w:r>
        <w:rPr>
          <w:rStyle w:val="20"/>
          <w:b/>
          <w:bCs w:val="0"/>
        </w:rPr>
        <w:t>2.6</w:t>
      </w:r>
      <w:r>
        <w:rPr>
          <w:rStyle w:val="20"/>
          <w:b/>
          <w:bCs w:val="0"/>
        </w:rPr>
        <w:tab/>
      </w:r>
      <w:r>
        <w:rPr>
          <w:rStyle w:val="20"/>
          <w:b/>
          <w:bCs w:val="0"/>
        </w:rPr>
        <w:t>Knowledge Gap and Research Justification</w:t>
      </w:r>
      <w:bookmarkEnd w:id="40"/>
      <w:bookmarkEnd w:id="41"/>
    </w:p>
    <w:p w14:paraId="050F5FB2">
      <w:pPr>
        <w:pStyle w:val="19"/>
        <w:spacing w:before="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Although numerous studies have documented the antibacterial potential of </w:t>
      </w:r>
      <w:r>
        <w:rPr>
          <w:rStyle w:val="15"/>
          <w:rFonts w:eastAsiaTheme="majorEastAsia"/>
          <w:color w:val="000000" w:themeColor="text1"/>
          <w14:textFill>
            <w14:solidFill>
              <w14:schemeClr w14:val="tx1"/>
            </w14:solidFill>
          </w14:textFill>
        </w:rPr>
        <w:t>Boscia angustifolia</w:t>
      </w:r>
      <w:r>
        <w:rPr>
          <w:color w:val="000000" w:themeColor="text1"/>
          <w14:textFill>
            <w14:solidFill>
              <w14:schemeClr w14:val="tx1"/>
            </w14:solidFill>
          </w14:textFill>
        </w:rPr>
        <w:t xml:space="preserve">, the majority focus on measuring zones of inhibition, MIC, and MBC values without delving into specific mechanisms of action (Essa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2021; Vougat Ngom </w:t>
      </w:r>
      <w:r>
        <w:rPr>
          <w:i/>
          <w:iCs/>
          <w:color w:val="000000" w:themeColor="text1"/>
          <w14:textFill>
            <w14:solidFill>
              <w14:schemeClr w14:val="tx1"/>
            </w14:solidFill>
          </w14:textFill>
        </w:rPr>
        <w:t xml:space="preserve">et al., </w:t>
      </w:r>
      <w:r>
        <w:rPr>
          <w:color w:val="000000" w:themeColor="text1"/>
          <w14:textFill>
            <w14:solidFill>
              <w14:schemeClr w14:val="tx1"/>
            </w14:solidFill>
          </w14:textFill>
        </w:rPr>
        <w:t>2021). The lack of mechanistic studies limits scientific understanding and hinders the potential development of novel antibacterial drugs from this plant.</w:t>
      </w:r>
    </w:p>
    <w:p w14:paraId="39D6EA8F">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Furthermore, existing research often employs crude extracts without isolating or characterizing the active compounds responsible for antibacterial activity (</w:t>
      </w:r>
      <w:r>
        <w:t>Vaou</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2022). While crude extracts may show strong activity, they also contain complex mixtures that make it difficult to pinpoint the exact molecule or mechanism involved. Bioassay-guided fractionation and advanced spectroscopic techniques are needed for further analysis.</w:t>
      </w:r>
    </w:p>
    <w:p w14:paraId="04F140F3">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Another gap lies in the scarcity of in vivo studies validating the safety and efficacy of </w:t>
      </w:r>
      <w:r>
        <w:rPr>
          <w:rStyle w:val="15"/>
          <w:rFonts w:eastAsiaTheme="majorEastAsia"/>
          <w:color w:val="000000" w:themeColor="text1"/>
          <w14:textFill>
            <w14:solidFill>
              <w14:schemeClr w14:val="tx1"/>
            </w14:solidFill>
          </w14:textFill>
        </w:rPr>
        <w:t>B. senegalensis</w:t>
      </w:r>
      <w:r>
        <w:rPr>
          <w:color w:val="000000" w:themeColor="text1"/>
          <w14:textFill>
            <w14:solidFill>
              <w14:schemeClr w14:val="tx1"/>
            </w14:solidFill>
          </w14:textFill>
        </w:rPr>
        <w:t xml:space="preserve"> extracts. Most existing work is restricted to in vitro experiments, which, although informative, may not fully reflect clinical outcomes (</w:t>
      </w:r>
      <w:r>
        <w:t>Schacter</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2021). Addressing this limitation is crucial for the potential pharmaceutical development of the plant.</w:t>
      </w:r>
    </w:p>
    <w:p w14:paraId="36556B51">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The justification for this research, therefore, lies in its potential to bridge these gaps. By elucidating the antibacterial mechanisms of </w:t>
      </w:r>
      <w:r>
        <w:rPr>
          <w:rStyle w:val="15"/>
          <w:rFonts w:eastAsiaTheme="majorEastAsia"/>
          <w:color w:val="000000" w:themeColor="text1"/>
          <w14:textFill>
            <w14:solidFill>
              <w14:schemeClr w14:val="tx1"/>
            </w14:solidFill>
          </w14:textFill>
        </w:rPr>
        <w:t xml:space="preserve">Boscia </w:t>
      </w:r>
      <w:r>
        <w:rPr>
          <w:i/>
          <w:iCs/>
          <w:color w:val="000000" w:themeColor="text1"/>
          <w14:textFill>
            <w14:solidFill>
              <w14:schemeClr w14:val="tx1"/>
            </w14:solidFill>
          </w14:textFill>
        </w:rPr>
        <w:t>angustifolia</w:t>
      </w:r>
      <w:r>
        <w:rPr>
          <w:color w:val="000000" w:themeColor="text1"/>
          <w14:textFill>
            <w14:solidFill>
              <w14:schemeClr w14:val="tx1"/>
            </w14:solidFill>
          </w14:textFill>
        </w:rPr>
        <w:t xml:space="preserve"> extracts, the study will provide scientific validation for traditional uses, contribute to the search for novel antibacterial agents, and support global efforts to combat antimicrobial resistance.</w:t>
      </w:r>
    </w:p>
    <w:p w14:paraId="2AC35D88">
      <w:pPr>
        <w:pStyle w:val="19"/>
        <w:spacing w:before="240" w:beforeAutospacing="0" w:after="0" w:afterAutospacing="0" w:line="480" w:lineRule="auto"/>
        <w:jc w:val="both"/>
        <w:rPr>
          <w:color w:val="000000" w:themeColor="text1"/>
          <w14:textFill>
            <w14:solidFill>
              <w14:schemeClr w14:val="tx1"/>
            </w14:solidFill>
          </w14:textFill>
        </w:rPr>
      </w:pPr>
    </w:p>
    <w:p w14:paraId="1695FAF5">
      <w:pPr>
        <w:pStyle w:val="19"/>
        <w:spacing w:before="240" w:beforeAutospacing="0" w:after="0" w:afterAutospacing="0" w:line="480" w:lineRule="auto"/>
        <w:jc w:val="both"/>
        <w:rPr>
          <w:color w:val="000000" w:themeColor="text1"/>
          <w14:textFill>
            <w14:solidFill>
              <w14:schemeClr w14:val="tx1"/>
            </w14:solidFill>
          </w14:textFill>
        </w:rPr>
      </w:pPr>
    </w:p>
    <w:p w14:paraId="0B029888">
      <w:pPr>
        <w:pStyle w:val="19"/>
        <w:spacing w:before="240" w:beforeAutospacing="0" w:after="0" w:afterAutospacing="0" w:line="480" w:lineRule="auto"/>
        <w:jc w:val="both"/>
        <w:rPr>
          <w:color w:val="000000" w:themeColor="text1"/>
          <w14:textFill>
            <w14:solidFill>
              <w14:schemeClr w14:val="tx1"/>
            </w14:solidFill>
          </w14:textFill>
        </w:rPr>
      </w:pPr>
    </w:p>
    <w:p w14:paraId="67DD988A">
      <w:pPr>
        <w:pStyle w:val="19"/>
        <w:spacing w:before="240" w:beforeAutospacing="0" w:after="0" w:afterAutospacing="0" w:line="480" w:lineRule="auto"/>
        <w:jc w:val="both"/>
        <w:rPr>
          <w:color w:val="000000" w:themeColor="text1"/>
          <w14:textFill>
            <w14:solidFill>
              <w14:schemeClr w14:val="tx1"/>
            </w14:solidFill>
          </w14:textFill>
        </w:rPr>
      </w:pPr>
    </w:p>
    <w:p w14:paraId="0FE9A055">
      <w:pPr>
        <w:pStyle w:val="19"/>
        <w:spacing w:before="240" w:beforeAutospacing="0" w:after="0" w:afterAutospacing="0" w:line="480" w:lineRule="auto"/>
        <w:jc w:val="both"/>
        <w:rPr>
          <w:color w:val="000000" w:themeColor="text1"/>
          <w14:textFill>
            <w14:solidFill>
              <w14:schemeClr w14:val="tx1"/>
            </w14:solidFill>
          </w14:textFill>
        </w:rPr>
      </w:pPr>
    </w:p>
    <w:p w14:paraId="0DA3176B">
      <w:pPr>
        <w:pStyle w:val="19"/>
        <w:spacing w:before="240" w:beforeAutospacing="0" w:after="0" w:afterAutospacing="0" w:line="480" w:lineRule="auto"/>
        <w:jc w:val="both"/>
        <w:rPr>
          <w:color w:val="000000" w:themeColor="text1"/>
          <w14:textFill>
            <w14:solidFill>
              <w14:schemeClr w14:val="tx1"/>
            </w14:solidFill>
          </w14:textFill>
        </w:rPr>
      </w:pPr>
    </w:p>
    <w:p w14:paraId="36746FF8">
      <w:pPr>
        <w:spacing w:line="278" w:lineRule="auto"/>
        <w:rPr>
          <w:rFonts w:ascii="Times New Roman" w:hAnsi="Times New Roman" w:eastAsia="Times New Roman" w:cs="Times New Roman"/>
          <w:b/>
          <w:bCs/>
          <w:color w:val="000000" w:themeColor="text1"/>
          <w:sz w:val="24"/>
          <w:szCs w:val="24"/>
          <w14:textFill>
            <w14:solidFill>
              <w14:schemeClr w14:val="tx1"/>
            </w14:solidFill>
          </w14:textFill>
        </w:rPr>
      </w:pPr>
      <w:bookmarkStart w:id="42" w:name="_Toc215016062"/>
      <w:r>
        <w:rPr>
          <w:rFonts w:eastAsia="Times New Roman" w:cs="Times New Roman"/>
          <w:bCs/>
          <w:szCs w:val="24"/>
        </w:rPr>
        <w:br w:type="page"/>
      </w:r>
    </w:p>
    <w:p w14:paraId="4E0D952C">
      <w:pPr>
        <w:pStyle w:val="2"/>
        <w:spacing w:before="0" w:after="0" w:line="480" w:lineRule="auto"/>
        <w:jc w:val="center"/>
        <w:rPr>
          <w:rFonts w:eastAsia="Times New Roman"/>
        </w:rPr>
      </w:pPr>
      <w:bookmarkStart w:id="43" w:name="_Toc215132359"/>
      <w:r>
        <w:rPr>
          <w:rFonts w:eastAsia="Times New Roman"/>
        </w:rPr>
        <w:t>CHAPTER THREE</w:t>
      </w:r>
      <w:bookmarkEnd w:id="42"/>
      <w:bookmarkEnd w:id="43"/>
    </w:p>
    <w:p w14:paraId="7A20A70D">
      <w:pPr>
        <w:pStyle w:val="2"/>
        <w:spacing w:before="0" w:after="0" w:line="480" w:lineRule="auto"/>
        <w:jc w:val="center"/>
        <w:rPr>
          <w:rFonts w:eastAsia="Times New Roman"/>
          <w:kern w:val="36"/>
        </w:rPr>
      </w:pPr>
      <w:bookmarkStart w:id="44" w:name="_Toc215016063"/>
      <w:bookmarkStart w:id="45" w:name="_Toc215132360"/>
      <w:r>
        <w:rPr>
          <w:rFonts w:eastAsia="Times New Roman"/>
          <w:kern w:val="36"/>
        </w:rPr>
        <w:t>RESEARCH METHODOLOGY</w:t>
      </w:r>
      <w:bookmarkEnd w:id="44"/>
      <w:bookmarkEnd w:id="45"/>
    </w:p>
    <w:p w14:paraId="51B59768">
      <w:pPr>
        <w:pStyle w:val="2"/>
        <w:spacing w:line="480" w:lineRule="auto"/>
        <w:rPr>
          <w:rFonts w:eastAsia="Times New Roman"/>
        </w:rPr>
      </w:pPr>
      <w:bookmarkStart w:id="46" w:name="_Toc215016064"/>
      <w:bookmarkStart w:id="47" w:name="_Toc215132361"/>
      <w:r>
        <w:rPr>
          <w:rFonts w:eastAsia="Times New Roman"/>
        </w:rPr>
        <w:t>3.1</w:t>
      </w:r>
      <w:r>
        <w:rPr>
          <w:rFonts w:eastAsia="Times New Roman"/>
        </w:rPr>
        <w:tab/>
      </w:r>
      <w:r>
        <w:rPr>
          <w:rFonts w:eastAsia="Times New Roman"/>
        </w:rPr>
        <w:t>Research Design</w:t>
      </w:r>
      <w:bookmarkEnd w:id="46"/>
      <w:bookmarkEnd w:id="47"/>
    </w:p>
    <w:p w14:paraId="3E7E4A05">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This study employed an experimental research design aimed at evaluating the antibacterial activity and mechanism of action of </w:t>
      </w:r>
      <w:r>
        <w:rPr>
          <w:rFonts w:ascii="Times New Roman" w:hAnsi="Times New Roman" w:eastAsia="Times New Roman" w:cs="Times New Roman"/>
          <w:i/>
          <w:iCs/>
          <w:color w:val="000000" w:themeColor="text1"/>
          <w:sz w:val="24"/>
          <w:szCs w:val="24"/>
          <w14:textFill>
            <w14:solidFill>
              <w14:schemeClr w14:val="tx1"/>
            </w14:solidFill>
          </w14:textFill>
        </w:rPr>
        <w:t>angustifolia</w:t>
      </w:r>
      <w:r>
        <w:rPr>
          <w:rFonts w:ascii="Times New Roman" w:hAnsi="Times New Roman" w:eastAsia="Times New Roman" w:cs="Times New Roman"/>
          <w:color w:val="000000" w:themeColor="text1"/>
          <w:sz w:val="24"/>
          <w:szCs w:val="24"/>
          <w14:textFill>
            <w14:solidFill>
              <w14:schemeClr w14:val="tx1"/>
            </w14:solidFill>
          </w14:textFill>
        </w:rPr>
        <w:t xml:space="preserve"> extracts against selected bacterial pathogens. Experimental research allows for systematic observation under controlled laboratory conditions to establish cause-and-effect relationships (</w:t>
      </w:r>
      <w:r>
        <w:rPr>
          <w:rFonts w:ascii="Times New Roman" w:hAnsi="Times New Roman" w:eastAsia="Times New Roman" w:cs="Times New Roman"/>
          <w:sz w:val="24"/>
          <w:szCs w:val="24"/>
        </w:rPr>
        <w:t xml:space="preserve">Kebede </w:t>
      </w:r>
      <w:r>
        <w:rPr>
          <w:rFonts w:ascii="Times New Roman" w:hAnsi="Times New Roman" w:eastAsia="Times New Roman" w:cs="Times New Roman"/>
          <w:i/>
          <w:iCs/>
          <w:sz w:val="24"/>
          <w:szCs w:val="24"/>
        </w:rPr>
        <w:t>et al</w:t>
      </w:r>
      <w:r>
        <w:rPr>
          <w:rFonts w:ascii="Times New Roman" w:hAnsi="Times New Roman" w:eastAsia="Times New Roman" w:cs="Times New Roman"/>
          <w:sz w:val="24"/>
          <w:szCs w:val="24"/>
        </w:rPr>
        <w:t xml:space="preserve">., 2021) </w:t>
      </w:r>
      <w:r>
        <w:rPr>
          <w:rFonts w:ascii="Times New Roman" w:hAnsi="Times New Roman" w:eastAsia="Times New Roman" w:cs="Times New Roman"/>
          <w:color w:val="000000" w:themeColor="text1"/>
          <w:sz w:val="24"/>
          <w:szCs w:val="24"/>
          <w14:textFill>
            <w14:solidFill>
              <w14:schemeClr w14:val="tx1"/>
            </w14:solidFill>
          </w14:textFill>
        </w:rPr>
        <w:t>The design involved extraction of plant material, phytochemical screening, preparation of bacterial cultures, and antimicrobial sensitivity testing using the agar well diffusion method.</w:t>
      </w:r>
    </w:p>
    <w:p w14:paraId="0DEA8879">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Both qualitative and quantitative analyses were conducted. Qualitative analyses involved phytochemical screening for the presence of secondary metabolites, while quantitative analyses determined the degree of antibacterial activity expressed as zones of inhibition.</w:t>
      </w:r>
    </w:p>
    <w:p w14:paraId="053C7369">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To ensure the validity and reliability of results, all experiments were conducted in triplicate under aseptic conditions. Positive and negative controls were included to verify the effectiveness of the test system. Ciprofloxacin served as the positive control due to its broad-spectrum antibacterial activity, while dimethyl sulfoxide (DMSO) served as the negative control since it was the solvent used in extract dilution (</w:t>
      </w:r>
      <w:r>
        <w:rPr>
          <w:rFonts w:ascii="Times New Roman" w:hAnsi="Times New Roman" w:eastAsia="Times New Roman" w:cs="Times New Roman"/>
          <w:sz w:val="24"/>
          <w:szCs w:val="24"/>
        </w:rPr>
        <w:t xml:space="preserve">Zafar </w:t>
      </w:r>
      <w:r>
        <w:rPr>
          <w:rFonts w:ascii="Times New Roman" w:hAnsi="Times New Roman" w:eastAsia="Times New Roman" w:cs="Times New Roman"/>
          <w:i/>
          <w:iCs/>
          <w:sz w:val="24"/>
          <w:szCs w:val="24"/>
        </w:rPr>
        <w:t>et al.</w:t>
      </w:r>
      <w:r>
        <w:rPr>
          <w:rFonts w:ascii="Times New Roman" w:hAnsi="Times New Roman" w:eastAsia="Times New Roman" w:cs="Times New Roman"/>
          <w:color w:val="000000" w:themeColor="text1"/>
          <w:sz w:val="24"/>
          <w:szCs w:val="24"/>
          <w14:textFill>
            <w14:solidFill>
              <w14:schemeClr w14:val="tx1"/>
            </w14:solidFill>
          </w14:textFill>
        </w:rPr>
        <w:t>, 2021).</w:t>
      </w:r>
    </w:p>
    <w:p w14:paraId="115C48CF">
      <w:pPr>
        <w:pStyle w:val="2"/>
        <w:spacing w:after="0" w:line="480" w:lineRule="auto"/>
        <w:rPr>
          <w:rFonts w:eastAsia="Times New Roman"/>
        </w:rPr>
      </w:pPr>
      <w:bookmarkStart w:id="48" w:name="_Toc215132362"/>
      <w:r>
        <w:rPr>
          <w:rFonts w:eastAsia="Times New Roman"/>
        </w:rPr>
        <w:t>3.2</w:t>
      </w:r>
      <w:r>
        <w:rPr>
          <w:rFonts w:eastAsia="Times New Roman"/>
        </w:rPr>
        <w:tab/>
      </w:r>
      <w:r>
        <w:rPr>
          <w:rFonts w:eastAsia="Times New Roman"/>
        </w:rPr>
        <w:t>Materials and Reagents</w:t>
      </w:r>
      <w:bookmarkEnd w:id="48"/>
    </w:p>
    <w:p w14:paraId="5BA18900">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Materials: </w:t>
      </w:r>
      <w:r>
        <w:rPr>
          <w:rFonts w:ascii="Times New Roman" w:hAnsi="Times New Roman" w:eastAsia="Times New Roman" w:cs="Times New Roman"/>
          <w:color w:val="000000" w:themeColor="text1"/>
          <w:sz w:val="24"/>
          <w:szCs w:val="24"/>
          <w14:textFill>
            <w14:solidFill>
              <w14:schemeClr w14:val="tx1"/>
            </w14:solidFill>
          </w14:textFill>
        </w:rPr>
        <w:t>Measuring cylinder, Hot air oven, Autoclave, Weighing balance, Sieve, Conical flask, Beaker, Volumetric flash, Petri dish, Eppendolf tubes, Brush, Hot plate, Disposable pippete tips, Racks, Spatula, Crock borer, Incubator, Foil paper, Cotton wool, Masking tape, Mortar, pestle.</w:t>
      </w:r>
    </w:p>
    <w:p w14:paraId="395E704A">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Reagents: </w:t>
      </w:r>
      <w:r>
        <w:rPr>
          <w:rFonts w:ascii="Times New Roman" w:hAnsi="Times New Roman" w:eastAsia="Times New Roman" w:cs="Times New Roman"/>
          <w:color w:val="000000" w:themeColor="text1"/>
          <w:sz w:val="24"/>
          <w:szCs w:val="24"/>
          <w14:textFill>
            <w14:solidFill>
              <w14:schemeClr w14:val="tx1"/>
            </w14:solidFill>
          </w14:textFill>
        </w:rPr>
        <w:t>Methanol, Distilled water, Dimethylsulphoxide (DMSO), Chloroform, Sulphuric acid, Fehling’s solution A&amp;B, 10% Ammonia, 10% Aqueous hydrochloric acid, Wagner reagent, Diluted Hydrogen chloride (HCL), 10% Sodium hydroxide (NaoH), 5% Ferric chloride, Mueller Hinton agar.</w:t>
      </w:r>
    </w:p>
    <w:p w14:paraId="139B6716">
      <w:pPr>
        <w:pStyle w:val="2"/>
        <w:spacing w:line="480" w:lineRule="auto"/>
      </w:pPr>
      <w:bookmarkStart w:id="49" w:name="_Toc215016065"/>
      <w:bookmarkStart w:id="50" w:name="_Toc215132363"/>
      <w:r>
        <w:t>3.3</w:t>
      </w:r>
      <w:r>
        <w:tab/>
      </w:r>
      <w:r>
        <w:t>Sample Collection and Preparation</w:t>
      </w:r>
      <w:bookmarkEnd w:id="49"/>
      <w:bookmarkEnd w:id="50"/>
    </w:p>
    <w:p w14:paraId="4BCE788E">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Fresh samples of </w:t>
      </w:r>
      <w:r>
        <w:rPr>
          <w:rFonts w:ascii="Times New Roman" w:hAnsi="Times New Roman" w:eastAsia="Times New Roman" w:cs="Times New Roman"/>
          <w:i/>
          <w:iCs/>
          <w:color w:val="000000" w:themeColor="text1"/>
          <w:sz w:val="24"/>
          <w:szCs w:val="24"/>
          <w14:textFill>
            <w14:solidFill>
              <w14:schemeClr w14:val="tx1"/>
            </w14:solidFill>
          </w14:textFill>
        </w:rPr>
        <w:t>Boscia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were collected from Sokoto State, Nigeria, where the plant is abundant and widely used in traditional medicine. The plant material was authenticated in the Department of Botany, Usmanu Danfodiyo University Sokoto, and a voucher specimen was deposited for reference. Proper identification is essential to ensure reproducibility and scientific validity (</w:t>
      </w:r>
      <w:r>
        <w:rPr>
          <w:rFonts w:ascii="Times New Roman" w:hAnsi="Times New Roman" w:eastAsia="Times New Roman" w:cs="Times New Roman"/>
          <w:sz w:val="24"/>
          <w:szCs w:val="24"/>
        </w:rPr>
        <w:t xml:space="preserve">Roy </w:t>
      </w:r>
      <w:r>
        <w:rPr>
          <w:rFonts w:ascii="Times New Roman" w:hAnsi="Times New Roman" w:eastAsia="Times New Roman" w:cs="Times New Roman"/>
          <w:i/>
          <w:iCs/>
          <w:sz w:val="24"/>
          <w:szCs w:val="24"/>
        </w:rPr>
        <w:t>et al.</w:t>
      </w:r>
      <w:r>
        <w:rPr>
          <w:rFonts w:ascii="Times New Roman" w:hAnsi="Times New Roman" w:eastAsia="Times New Roman" w:cs="Times New Roman"/>
          <w:color w:val="000000" w:themeColor="text1"/>
          <w:sz w:val="24"/>
          <w:szCs w:val="24"/>
          <w14:textFill>
            <w14:solidFill>
              <w14:schemeClr w14:val="tx1"/>
            </w14:solidFill>
          </w14:textFill>
        </w:rPr>
        <w:t>, 2025).</w:t>
      </w:r>
    </w:p>
    <w:p w14:paraId="4AF3B6F4">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The collected plant parts were washed thoroughly with clean water to remove dirt and debris. They were air-dried at room temperature for several days to prevent the loss of thermolabile compounds. Once completely dried, the samples were ground into fine powder using a mechanical grinder and stored in airtight containers until extraction. The drying and grinding process increased the surface area for efficient solvent penetration during extraction (</w:t>
      </w:r>
      <w:r>
        <w:rPr>
          <w:rFonts w:ascii="Times New Roman" w:hAnsi="Times New Roman" w:eastAsia="Times New Roman" w:cs="Times New Roman"/>
          <w:sz w:val="24"/>
          <w:szCs w:val="24"/>
        </w:rPr>
        <w:t xml:space="preserve">Senawong </w:t>
      </w:r>
      <w:r>
        <w:rPr>
          <w:rFonts w:ascii="Times New Roman" w:hAnsi="Times New Roman" w:eastAsia="Times New Roman" w:cs="Times New Roman"/>
          <w:i/>
          <w:iCs/>
          <w:sz w:val="24"/>
          <w:szCs w:val="24"/>
        </w:rPr>
        <w:t>et al.</w:t>
      </w:r>
      <w:r>
        <w:rPr>
          <w:rFonts w:ascii="Times New Roman" w:hAnsi="Times New Roman" w:eastAsia="Times New Roman" w:cs="Times New Roman"/>
          <w:color w:val="000000" w:themeColor="text1"/>
          <w:sz w:val="24"/>
          <w:szCs w:val="24"/>
          <w14:textFill>
            <w14:solidFill>
              <w14:schemeClr w14:val="tx1"/>
            </w14:solidFill>
          </w14:textFill>
        </w:rPr>
        <w:t>, 2023).</w:t>
      </w:r>
    </w:p>
    <w:p w14:paraId="02BE808B">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For extraction, 100 grams of powdered plant material was soaked in 500 mL of methanol and left to stand for 72 hours with intermittent shaking to enhance solute-solvent interaction. The extract was filtered through muslin cloth and Whatman No. 1 filter paper. The filtrate was then concentrated in a water bath at 45°C until a semi-solid extract was obtained (</w:t>
      </w:r>
      <w:r>
        <w:rPr>
          <w:rFonts w:ascii="Times New Roman" w:hAnsi="Times New Roman" w:eastAsia="Times New Roman" w:cs="Times New Roman"/>
          <w:sz w:val="24"/>
          <w:szCs w:val="24"/>
        </w:rPr>
        <w:t>Mariia</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et al.,</w:t>
      </w:r>
      <w:r>
        <w:rPr>
          <w:rFonts w:ascii="Times New Roman" w:hAnsi="Times New Roman" w:eastAsia="Times New Roman" w:cs="Times New Roman"/>
          <w:color w:val="000000" w:themeColor="text1"/>
          <w:sz w:val="24"/>
          <w:szCs w:val="24"/>
          <w14:textFill>
            <w14:solidFill>
              <w14:schemeClr w14:val="tx1"/>
            </w14:solidFill>
          </w14:textFill>
        </w:rPr>
        <w:t xml:space="preserve"> 2021).</w:t>
      </w:r>
    </w:p>
    <w:p w14:paraId="6688BDB2">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Different concentrations of the crude extract were prepared for testing: 40 mg/mL, 60 mg/mL, and 80 mg/mL. Each concentration was dissolved in a 1:1 mixture of distilled water and DMSO to improve solubility. The prepared extracts were labeled accordingly and stored at 4°C until use.</w:t>
      </w:r>
    </w:p>
    <w:p w14:paraId="39CDAC0A">
      <w:pPr>
        <w:pStyle w:val="2"/>
        <w:spacing w:after="0" w:line="480" w:lineRule="auto"/>
        <w:rPr>
          <w:rFonts w:eastAsia="Times New Roman"/>
        </w:rPr>
      </w:pPr>
      <w:bookmarkStart w:id="51" w:name="_Toc215016066"/>
      <w:bookmarkStart w:id="52" w:name="_Toc215132364"/>
      <w:r>
        <w:rPr>
          <w:rFonts w:eastAsia="Times New Roman"/>
        </w:rPr>
        <w:t>3.4</w:t>
      </w:r>
      <w:r>
        <w:rPr>
          <w:rFonts w:eastAsia="Times New Roman"/>
        </w:rPr>
        <w:tab/>
      </w:r>
      <w:r>
        <w:rPr>
          <w:rFonts w:eastAsia="Times New Roman"/>
        </w:rPr>
        <w:t>Phytochemical Screening</w:t>
      </w:r>
      <w:bookmarkEnd w:id="51"/>
      <w:bookmarkEnd w:id="52"/>
    </w:p>
    <w:p w14:paraId="224DDF84">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Qualitative phytochemical screening of </w:t>
      </w:r>
      <w:r>
        <w:rPr>
          <w:rFonts w:ascii="Times New Roman" w:hAnsi="Times New Roman" w:eastAsia="Times New Roman" w:cs="Times New Roman"/>
          <w:i/>
          <w:iCs/>
          <w:color w:val="000000" w:themeColor="text1"/>
          <w:sz w:val="24"/>
          <w:szCs w:val="24"/>
          <w14:textFill>
            <w14:solidFill>
              <w14:schemeClr w14:val="tx1"/>
            </w14:solidFill>
          </w14:textFill>
        </w:rPr>
        <w:t>Boscia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extracts was conducted following the methods of (</w:t>
      </w:r>
      <w:r>
        <w:rPr>
          <w:rFonts w:ascii="Times New Roman" w:hAnsi="Times New Roman" w:eastAsia="Times New Roman" w:cs="Times New Roman"/>
          <w:sz w:val="24"/>
          <w:szCs w:val="24"/>
        </w:rPr>
        <w:t>Algfri</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et al.,</w:t>
      </w:r>
      <w:r>
        <w:rPr>
          <w:rFonts w:ascii="Times New Roman" w:hAnsi="Times New Roman" w:eastAsia="Times New Roman" w:cs="Times New Roman"/>
          <w:color w:val="000000" w:themeColor="text1"/>
          <w:sz w:val="24"/>
          <w:szCs w:val="24"/>
          <w14:textFill>
            <w14:solidFill>
              <w14:schemeClr w14:val="tx1"/>
            </w14:solidFill>
          </w14:textFill>
        </w:rPr>
        <w:t xml:space="preserve"> 2021). This was done to identify the presence of secondary metabolites responsible for antibacterial activity, such as alkaloids, flavonoids, tannins, saponins, steroids, glycosides, and anthraquinones.</w:t>
      </w:r>
    </w:p>
    <w:p w14:paraId="2084834D">
      <w:pPr>
        <w:numPr>
          <w:ilvl w:val="0"/>
          <w:numId w:val="3"/>
        </w:numPr>
        <w:tabs>
          <w:tab w:val="clear" w:pos="720"/>
        </w:tabs>
        <w:spacing w:before="240" w:after="0" w:line="480" w:lineRule="auto"/>
        <w:ind w:left="426" w:hanging="426"/>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bCs/>
          <w:color w:val="000000" w:themeColor="text1"/>
          <w:sz w:val="24"/>
          <w:szCs w:val="24"/>
          <w14:textFill>
            <w14:solidFill>
              <w14:schemeClr w14:val="tx1"/>
            </w14:solidFill>
          </w14:textFill>
        </w:rPr>
        <w:t>Test for Alkaloids:</w:t>
      </w:r>
      <w:r>
        <w:rPr>
          <w:rFonts w:ascii="Times New Roman" w:hAnsi="Times New Roman" w:eastAsia="Times New Roman" w:cs="Times New Roman"/>
          <w:color w:val="000000" w:themeColor="text1"/>
          <w:sz w:val="24"/>
          <w:szCs w:val="24"/>
          <w14:textFill>
            <w14:solidFill>
              <w14:schemeClr w14:val="tx1"/>
            </w14:solidFill>
          </w14:textFill>
        </w:rPr>
        <w:t xml:space="preserve"> Two milliliters of the extract were stirred with 2 mL of 10% aqueous hydrochloric acid, and 1 mL of the filtrate was treated with a few drops of Wagner’s reagent. The formation of turbidity or a reddish-brown precipitate indicated the presence of alkaloids (Halilu, 2024).</w:t>
      </w:r>
    </w:p>
    <w:p w14:paraId="16ADEB3B">
      <w:pPr>
        <w:numPr>
          <w:ilvl w:val="0"/>
          <w:numId w:val="3"/>
        </w:numPr>
        <w:tabs>
          <w:tab w:val="clear" w:pos="720"/>
        </w:tabs>
        <w:spacing w:before="240" w:after="0" w:line="480" w:lineRule="auto"/>
        <w:ind w:left="426" w:hanging="426"/>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bCs/>
          <w:color w:val="000000" w:themeColor="text1"/>
          <w:sz w:val="24"/>
          <w:szCs w:val="24"/>
          <w14:textFill>
            <w14:solidFill>
              <w14:schemeClr w14:val="tx1"/>
            </w14:solidFill>
          </w14:textFill>
        </w:rPr>
        <w:t>Test for Flavonoids:</w:t>
      </w:r>
      <w:r>
        <w:rPr>
          <w:rFonts w:ascii="Times New Roman" w:hAnsi="Times New Roman" w:eastAsia="Times New Roman" w:cs="Times New Roman"/>
          <w:color w:val="000000" w:themeColor="text1"/>
          <w:sz w:val="24"/>
          <w:szCs w:val="24"/>
          <w14:textFill>
            <w14:solidFill>
              <w14:schemeClr w14:val="tx1"/>
            </w14:solidFill>
          </w14:textFill>
        </w:rPr>
        <w:t xml:space="preserve"> Two milliliters of extract were mixed with 1 mL of 10% NaOH solution. The appearance of a yellow color confirmed the presence of flavonoids (</w:t>
      </w:r>
      <w:r>
        <w:rPr>
          <w:rFonts w:ascii="Times New Roman" w:hAnsi="Times New Roman" w:eastAsia="Times New Roman" w:cs="Times New Roman"/>
          <w:sz w:val="24"/>
          <w:szCs w:val="24"/>
        </w:rPr>
        <w:t>Khataniar</w:t>
      </w:r>
      <w:r>
        <w:rPr>
          <w:rFonts w:ascii="Times New Roman" w:hAnsi="Times New Roman" w:eastAsia="Times New Roman" w:cs="Times New Roman"/>
          <w:i/>
          <w:iCs/>
          <w:color w:val="000000" w:themeColor="text1"/>
          <w:sz w:val="24"/>
          <w:szCs w:val="24"/>
          <w14:textFill>
            <w14:solidFill>
              <w14:schemeClr w14:val="tx1"/>
            </w14:solidFill>
          </w14:textFill>
        </w:rPr>
        <w:t xml:space="preserve"> et al.,</w:t>
      </w:r>
      <w:r>
        <w:rPr>
          <w:rFonts w:ascii="Times New Roman" w:hAnsi="Times New Roman" w:eastAsia="Times New Roman" w:cs="Times New Roman"/>
          <w:color w:val="000000" w:themeColor="text1"/>
          <w:sz w:val="24"/>
          <w:szCs w:val="24"/>
          <w14:textFill>
            <w14:solidFill>
              <w14:schemeClr w14:val="tx1"/>
            </w14:solidFill>
          </w14:textFill>
        </w:rPr>
        <w:t xml:space="preserve"> 2025).</w:t>
      </w:r>
    </w:p>
    <w:p w14:paraId="2925EA23">
      <w:pPr>
        <w:numPr>
          <w:ilvl w:val="0"/>
          <w:numId w:val="3"/>
        </w:numPr>
        <w:tabs>
          <w:tab w:val="clear" w:pos="720"/>
        </w:tabs>
        <w:spacing w:before="240" w:after="0" w:line="480" w:lineRule="auto"/>
        <w:ind w:left="426" w:hanging="426"/>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bCs/>
          <w:color w:val="000000" w:themeColor="text1"/>
          <w:sz w:val="24"/>
          <w:szCs w:val="24"/>
          <w14:textFill>
            <w14:solidFill>
              <w14:schemeClr w14:val="tx1"/>
            </w14:solidFill>
          </w14:textFill>
        </w:rPr>
        <w:t>Test for Tannins:</w:t>
      </w:r>
      <w:r>
        <w:rPr>
          <w:rFonts w:ascii="Times New Roman" w:hAnsi="Times New Roman" w:eastAsia="Times New Roman" w:cs="Times New Roman"/>
          <w:color w:val="000000" w:themeColor="text1"/>
          <w:sz w:val="24"/>
          <w:szCs w:val="24"/>
          <w14:textFill>
            <w14:solidFill>
              <w14:schemeClr w14:val="tx1"/>
            </w14:solidFill>
          </w14:textFill>
        </w:rPr>
        <w:t xml:space="preserve"> Two milliliters of extract were treated with 5% ferric chloride solution. A dark green coloration indicated the presence of tannins (</w:t>
      </w:r>
      <w:r>
        <w:rPr>
          <w:rFonts w:ascii="Times New Roman" w:hAnsi="Times New Roman" w:eastAsia="Times New Roman" w:cs="Times New Roman"/>
          <w:sz w:val="24"/>
          <w:szCs w:val="24"/>
        </w:rPr>
        <w:t>Melkamu &amp; Bitew, 2021</w:t>
      </w:r>
      <w:r>
        <w:rPr>
          <w:rFonts w:ascii="Times New Roman" w:hAnsi="Times New Roman" w:eastAsia="Times New Roman" w:cs="Times New Roman"/>
          <w:color w:val="000000" w:themeColor="text1"/>
          <w:sz w:val="24"/>
          <w:szCs w:val="24"/>
          <w14:textFill>
            <w14:solidFill>
              <w14:schemeClr w14:val="tx1"/>
            </w14:solidFill>
          </w14:textFill>
        </w:rPr>
        <w:t>).</w:t>
      </w:r>
    </w:p>
    <w:p w14:paraId="2E9400EE">
      <w:pPr>
        <w:numPr>
          <w:ilvl w:val="0"/>
          <w:numId w:val="3"/>
        </w:numPr>
        <w:tabs>
          <w:tab w:val="clear" w:pos="720"/>
        </w:tabs>
        <w:spacing w:before="240" w:after="0" w:line="480" w:lineRule="auto"/>
        <w:ind w:left="426" w:hanging="426"/>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bCs/>
          <w:color w:val="000000" w:themeColor="text1"/>
          <w:sz w:val="24"/>
          <w:szCs w:val="24"/>
          <w14:textFill>
            <w14:solidFill>
              <w14:schemeClr w14:val="tx1"/>
            </w14:solidFill>
          </w14:textFill>
        </w:rPr>
        <w:t>Test for Saponins:</w:t>
      </w:r>
      <w:r>
        <w:rPr>
          <w:rFonts w:ascii="Times New Roman" w:hAnsi="Times New Roman" w:eastAsia="Times New Roman" w:cs="Times New Roman"/>
          <w:color w:val="000000" w:themeColor="text1"/>
          <w:sz w:val="24"/>
          <w:szCs w:val="24"/>
          <w14:textFill>
            <w14:solidFill>
              <w14:schemeClr w14:val="tx1"/>
            </w14:solidFill>
          </w14:textFill>
        </w:rPr>
        <w:t xml:space="preserve"> Two milliliters of extract were shaken vigorously with 5 mL of distilled water. Persistent frothing indicated the presence of saponins (</w:t>
      </w:r>
      <w:r>
        <w:rPr>
          <w:rFonts w:ascii="Times New Roman" w:hAnsi="Times New Roman" w:eastAsia="Times New Roman" w:cs="Times New Roman"/>
          <w:sz w:val="24"/>
          <w:szCs w:val="24"/>
        </w:rPr>
        <w:t>Halilu, 2024</w:t>
      </w:r>
      <w:r>
        <w:rPr>
          <w:rFonts w:ascii="Times New Roman" w:hAnsi="Times New Roman" w:eastAsia="Times New Roman" w:cs="Times New Roman"/>
          <w:color w:val="000000" w:themeColor="text1"/>
          <w:sz w:val="24"/>
          <w:szCs w:val="24"/>
          <w14:textFill>
            <w14:solidFill>
              <w14:schemeClr w14:val="tx1"/>
            </w14:solidFill>
          </w14:textFill>
        </w:rPr>
        <w:t>).</w:t>
      </w:r>
    </w:p>
    <w:p w14:paraId="7EF4777C">
      <w:pPr>
        <w:numPr>
          <w:ilvl w:val="0"/>
          <w:numId w:val="3"/>
        </w:numPr>
        <w:tabs>
          <w:tab w:val="clear" w:pos="720"/>
        </w:tabs>
        <w:spacing w:before="240" w:after="0" w:line="480" w:lineRule="auto"/>
        <w:ind w:left="426" w:hanging="426"/>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bCs/>
          <w:color w:val="000000" w:themeColor="text1"/>
          <w:sz w:val="24"/>
          <w:szCs w:val="24"/>
          <w14:textFill>
            <w14:solidFill>
              <w14:schemeClr w14:val="tx1"/>
            </w14:solidFill>
          </w14:textFill>
        </w:rPr>
        <w:t>Test for Steroids:</w:t>
      </w:r>
      <w:r>
        <w:rPr>
          <w:rFonts w:ascii="Times New Roman" w:hAnsi="Times New Roman" w:eastAsia="Times New Roman" w:cs="Times New Roman"/>
          <w:color w:val="000000" w:themeColor="text1"/>
          <w:sz w:val="24"/>
          <w:szCs w:val="24"/>
          <w14:textFill>
            <w14:solidFill>
              <w14:schemeClr w14:val="tx1"/>
            </w14:solidFill>
          </w14:textFill>
        </w:rPr>
        <w:t xml:space="preserve"> Two milliliters of extract were dissolved in chloroform, and 2 mL of concentrated sulfuric acid was carefully added to form a lower layer. A reddish-brown color at the interface indicated the presence of steroids (</w:t>
      </w:r>
      <w:r>
        <w:rPr>
          <w:rFonts w:ascii="Times New Roman" w:hAnsi="Times New Roman" w:eastAsia="Times New Roman" w:cs="Times New Roman"/>
          <w:sz w:val="24"/>
          <w:szCs w:val="24"/>
        </w:rPr>
        <w:t xml:space="preserve">Jadhav </w:t>
      </w:r>
      <w:r>
        <w:rPr>
          <w:rFonts w:ascii="Times New Roman" w:hAnsi="Times New Roman" w:eastAsia="Times New Roman" w:cs="Times New Roman"/>
          <w:i/>
          <w:iCs/>
          <w:sz w:val="24"/>
          <w:szCs w:val="24"/>
        </w:rPr>
        <w:t>et al.</w:t>
      </w:r>
      <w:r>
        <w:rPr>
          <w:rFonts w:ascii="Times New Roman" w:hAnsi="Times New Roman" w:eastAsia="Times New Roman" w:cs="Times New Roman"/>
          <w:color w:val="000000" w:themeColor="text1"/>
          <w:sz w:val="24"/>
          <w:szCs w:val="24"/>
          <w14:textFill>
            <w14:solidFill>
              <w14:schemeClr w14:val="tx1"/>
            </w14:solidFill>
          </w14:textFill>
        </w:rPr>
        <w:t>, 2021).</w:t>
      </w:r>
    </w:p>
    <w:p w14:paraId="0398C5C3">
      <w:pPr>
        <w:numPr>
          <w:ilvl w:val="0"/>
          <w:numId w:val="3"/>
        </w:numPr>
        <w:tabs>
          <w:tab w:val="clear" w:pos="720"/>
        </w:tabs>
        <w:spacing w:before="240" w:after="0" w:line="480" w:lineRule="auto"/>
        <w:ind w:left="426" w:hanging="426"/>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bCs/>
          <w:color w:val="000000" w:themeColor="text1"/>
          <w:sz w:val="24"/>
          <w:szCs w:val="24"/>
          <w14:textFill>
            <w14:solidFill>
              <w14:schemeClr w14:val="tx1"/>
            </w14:solidFill>
          </w14:textFill>
        </w:rPr>
        <w:t>Test for Saponin Glycosides:</w:t>
      </w:r>
      <w:r>
        <w:rPr>
          <w:rFonts w:ascii="Times New Roman" w:hAnsi="Times New Roman" w:eastAsia="Times New Roman" w:cs="Times New Roman"/>
          <w:color w:val="000000" w:themeColor="text1"/>
          <w:sz w:val="24"/>
          <w:szCs w:val="24"/>
          <w14:textFill>
            <w14:solidFill>
              <w14:schemeClr w14:val="tx1"/>
            </w14:solidFill>
          </w14:textFill>
        </w:rPr>
        <w:t xml:space="preserve"> Two milliliters of extract were mixed with Fehling’s solution A and B. The formation of a bluish-green precipitate indicated the presence of saponin glycosides (</w:t>
      </w:r>
      <w:r>
        <w:rPr>
          <w:rFonts w:ascii="Times New Roman" w:hAnsi="Times New Roman" w:eastAsia="Times New Roman" w:cs="Times New Roman"/>
          <w:sz w:val="24"/>
          <w:szCs w:val="24"/>
        </w:rPr>
        <w:t>Alkali</w:t>
      </w:r>
      <w:r>
        <w:rPr>
          <w:rFonts w:ascii="Times New Roman" w:hAnsi="Times New Roman" w:eastAsia="Times New Roman" w:cs="Times New Roman"/>
          <w:i/>
          <w:iCs/>
          <w:color w:val="000000" w:themeColor="text1"/>
          <w:sz w:val="24"/>
          <w:szCs w:val="24"/>
          <w14:textFill>
            <w14:solidFill>
              <w14:schemeClr w14:val="tx1"/>
            </w14:solidFill>
          </w14:textFill>
        </w:rPr>
        <w:t xml:space="preserve"> et al.,</w:t>
      </w:r>
      <w:r>
        <w:rPr>
          <w:rFonts w:ascii="Times New Roman" w:hAnsi="Times New Roman" w:eastAsia="Times New Roman" w:cs="Times New Roman"/>
          <w:color w:val="000000" w:themeColor="text1"/>
          <w:sz w:val="24"/>
          <w:szCs w:val="24"/>
          <w14:textFill>
            <w14:solidFill>
              <w14:schemeClr w14:val="tx1"/>
            </w14:solidFill>
          </w14:textFill>
        </w:rPr>
        <w:t xml:space="preserve"> 2024).</w:t>
      </w:r>
    </w:p>
    <w:p w14:paraId="16E78B1B">
      <w:pPr>
        <w:numPr>
          <w:ilvl w:val="0"/>
          <w:numId w:val="3"/>
        </w:numPr>
        <w:tabs>
          <w:tab w:val="clear" w:pos="720"/>
        </w:tabs>
        <w:spacing w:before="240" w:after="0" w:line="480" w:lineRule="auto"/>
        <w:ind w:left="426" w:hanging="426"/>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bCs/>
          <w:color w:val="000000" w:themeColor="text1"/>
          <w:sz w:val="24"/>
          <w:szCs w:val="24"/>
          <w14:textFill>
            <w14:solidFill>
              <w14:schemeClr w14:val="tx1"/>
            </w14:solidFill>
          </w14:textFill>
        </w:rPr>
        <w:t>Test for Anthraquinones:</w:t>
      </w:r>
      <w:r>
        <w:rPr>
          <w:rFonts w:ascii="Times New Roman" w:hAnsi="Times New Roman" w:eastAsia="Times New Roman" w:cs="Times New Roman"/>
          <w:color w:val="000000" w:themeColor="text1"/>
          <w:sz w:val="24"/>
          <w:szCs w:val="24"/>
          <w14:textFill>
            <w14:solidFill>
              <w14:schemeClr w14:val="tx1"/>
            </w14:solidFill>
          </w14:textFill>
        </w:rPr>
        <w:t xml:space="preserve"> Two milliliters of extract were mixed with 5 mL of chloroform and 5 mL of 10% ammonia solution. The development of a pink or red color in the ammoniacal layer indicated the presence of anthraquinones (</w:t>
      </w:r>
      <w:r>
        <w:rPr>
          <w:rFonts w:ascii="Times New Roman" w:hAnsi="Times New Roman" w:eastAsia="Times New Roman" w:cs="Times New Roman"/>
          <w:sz w:val="24"/>
          <w:szCs w:val="24"/>
        </w:rPr>
        <w:t xml:space="preserve">Maļeckis </w:t>
      </w:r>
      <w:r>
        <w:rPr>
          <w:rFonts w:ascii="Times New Roman" w:hAnsi="Times New Roman" w:eastAsia="Times New Roman" w:cs="Times New Roman"/>
          <w:i/>
          <w:iCs/>
          <w:sz w:val="24"/>
          <w:szCs w:val="24"/>
        </w:rPr>
        <w:t xml:space="preserve">et al., </w:t>
      </w:r>
      <w:r>
        <w:rPr>
          <w:rFonts w:ascii="Times New Roman" w:hAnsi="Times New Roman" w:eastAsia="Times New Roman" w:cs="Times New Roman"/>
          <w:sz w:val="24"/>
          <w:szCs w:val="24"/>
        </w:rPr>
        <w:t>2024</w:t>
      </w:r>
      <w:r>
        <w:rPr>
          <w:rFonts w:ascii="Times New Roman" w:hAnsi="Times New Roman" w:eastAsia="Times New Roman" w:cs="Times New Roman"/>
          <w:color w:val="000000" w:themeColor="text1"/>
          <w:sz w:val="24"/>
          <w:szCs w:val="24"/>
          <w14:textFill>
            <w14:solidFill>
              <w14:schemeClr w14:val="tx1"/>
            </w14:solidFill>
          </w14:textFill>
        </w:rPr>
        <w:t>).</w:t>
      </w:r>
    </w:p>
    <w:p w14:paraId="4BD0464D">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The results of these tests provided insights into the potential antibacterial compounds within the extract.</w:t>
      </w:r>
    </w:p>
    <w:p w14:paraId="1025DA5B">
      <w:pPr>
        <w:pStyle w:val="2"/>
        <w:spacing w:after="0" w:line="480" w:lineRule="auto"/>
        <w:rPr>
          <w:rFonts w:eastAsia="Times New Roman"/>
        </w:rPr>
      </w:pPr>
      <w:bookmarkStart w:id="53" w:name="_Toc215132365"/>
      <w:bookmarkStart w:id="54" w:name="_Toc215016067"/>
      <w:r>
        <w:rPr>
          <w:rFonts w:eastAsia="Times New Roman"/>
        </w:rPr>
        <w:t>3.5</w:t>
      </w:r>
      <w:r>
        <w:rPr>
          <w:rFonts w:eastAsia="Times New Roman"/>
        </w:rPr>
        <w:tab/>
      </w:r>
      <w:r>
        <w:rPr>
          <w:rFonts w:eastAsia="Times New Roman"/>
        </w:rPr>
        <w:t>Preparation of Media and Bacterial Inoculum</w:t>
      </w:r>
      <w:bookmarkEnd w:id="53"/>
      <w:bookmarkEnd w:id="54"/>
    </w:p>
    <w:p w14:paraId="17369B7E">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The Mueller-Hinton agar (MHA) medium was prepared for antibacterial sensitivity testing according to the manufacturer’s instructions. Precisely 7.6 grams of MHA were weighed and dissolved in 200 mL of distilled water. The mixture was heated to achieve homogeneity and sterilized by autoclaving at 121°C for 15 minutes (</w:t>
      </w:r>
      <w:r>
        <w:rPr>
          <w:rFonts w:ascii="Times New Roman" w:hAnsi="Times New Roman" w:eastAsia="Times New Roman" w:cs="Times New Roman"/>
          <w:sz w:val="24"/>
          <w:szCs w:val="24"/>
        </w:rPr>
        <w:t xml:space="preserve">Sakyi </w:t>
      </w:r>
      <w:r>
        <w:rPr>
          <w:rFonts w:ascii="Times New Roman" w:hAnsi="Times New Roman" w:eastAsia="Times New Roman" w:cs="Times New Roman"/>
          <w:i/>
          <w:iCs/>
          <w:sz w:val="24"/>
          <w:szCs w:val="24"/>
        </w:rPr>
        <w:t xml:space="preserve">et al., </w:t>
      </w:r>
      <w:r>
        <w:rPr>
          <w:rFonts w:ascii="Times New Roman" w:hAnsi="Times New Roman" w:eastAsia="Times New Roman" w:cs="Times New Roman"/>
          <w:sz w:val="24"/>
          <w:szCs w:val="24"/>
        </w:rPr>
        <w:t>2025</w:t>
      </w:r>
      <w:r>
        <w:rPr>
          <w:rFonts w:ascii="Times New Roman" w:hAnsi="Times New Roman" w:eastAsia="Times New Roman" w:cs="Times New Roman"/>
          <w:color w:val="000000" w:themeColor="text1"/>
          <w:sz w:val="24"/>
          <w:szCs w:val="24"/>
          <w14:textFill>
            <w14:solidFill>
              <w14:schemeClr w14:val="tx1"/>
            </w14:solidFill>
          </w14:textFill>
        </w:rPr>
        <w:t>). The sterilized medium was poured into sterile Petri dishes and allowed to solidify under aseptic conditions.</w:t>
      </w:r>
    </w:p>
    <w:p w14:paraId="24F800B9">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Pure bacterial isolates of </w:t>
      </w:r>
      <w:r>
        <w:rPr>
          <w:rFonts w:ascii="Times New Roman" w:hAnsi="Times New Roman" w:eastAsia="Times New Roman" w:cs="Times New Roman"/>
          <w:i/>
          <w:iCs/>
          <w:color w:val="000000" w:themeColor="text1"/>
          <w:sz w:val="24"/>
          <w:szCs w:val="24"/>
          <w14:textFill>
            <w14:solidFill>
              <w14:schemeClr w14:val="tx1"/>
            </w14:solidFill>
          </w14:textFill>
        </w:rPr>
        <w:t>Escherichia coli</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Staphylococcus aureus</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Bacillus subtilis</w:t>
      </w:r>
      <w:r>
        <w:rPr>
          <w:rFonts w:ascii="Times New Roman" w:hAnsi="Times New Roman" w:eastAsia="Times New Roman" w:cs="Times New Roman"/>
          <w:color w:val="000000" w:themeColor="text1"/>
          <w:sz w:val="24"/>
          <w:szCs w:val="24"/>
          <w14:textFill>
            <w14:solidFill>
              <w14:schemeClr w14:val="tx1"/>
            </w14:solidFill>
          </w14:textFill>
        </w:rPr>
        <w:t xml:space="preserve">, and </w:t>
      </w:r>
      <w:r>
        <w:rPr>
          <w:rFonts w:ascii="Times New Roman" w:hAnsi="Times New Roman" w:eastAsia="Times New Roman" w:cs="Times New Roman"/>
          <w:i/>
          <w:iCs/>
          <w:color w:val="000000" w:themeColor="text1"/>
          <w:sz w:val="24"/>
          <w:szCs w:val="24"/>
          <w14:textFill>
            <w14:solidFill>
              <w14:schemeClr w14:val="tx1"/>
            </w14:solidFill>
          </w14:textFill>
        </w:rPr>
        <w:t>Klebsiella pneumoniae</w:t>
      </w:r>
      <w:r>
        <w:rPr>
          <w:rFonts w:ascii="Times New Roman" w:hAnsi="Times New Roman" w:eastAsia="Times New Roman" w:cs="Times New Roman"/>
          <w:color w:val="000000" w:themeColor="text1"/>
          <w:sz w:val="24"/>
          <w:szCs w:val="24"/>
          <w14:textFill>
            <w14:solidFill>
              <w14:schemeClr w14:val="tx1"/>
            </w14:solidFill>
          </w14:textFill>
        </w:rPr>
        <w:t xml:space="preserve"> were obtained from the Fleming lab of Usumanu Danfodiyo Vetenary Teaching Hospital,sokoto. Each bacterial strain was sub-cultured on nutrient agar and incubated at 37°C for 24 hours before use. A 0.5 McFarland standard was prepared to standardize the bacterial suspension, ensuring a consistent bacterial concentration for the assays (</w:t>
      </w:r>
      <w:r>
        <w:rPr>
          <w:rFonts w:ascii="Times New Roman" w:hAnsi="Times New Roman" w:eastAsia="Times New Roman" w:cs="Times New Roman"/>
          <w:sz w:val="24"/>
          <w:szCs w:val="24"/>
        </w:rPr>
        <w:t>Mahesh</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et al.,</w:t>
      </w:r>
      <w:r>
        <w:rPr>
          <w:rFonts w:ascii="Times New Roman" w:hAnsi="Times New Roman" w:eastAsia="Times New Roman" w:cs="Times New Roman"/>
          <w:color w:val="000000" w:themeColor="text1"/>
          <w:sz w:val="24"/>
          <w:szCs w:val="24"/>
          <w14:textFill>
            <w14:solidFill>
              <w14:schemeClr w14:val="tx1"/>
            </w14:solidFill>
          </w14:textFill>
        </w:rPr>
        <w:t xml:space="preserve"> 2025).</w:t>
      </w:r>
    </w:p>
    <w:p w14:paraId="59408BC7">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Positive and negative controls were also prepared. A 0.05 mg/mL solution of ciprofloxacin served as the positive control, while DMSO was used as the negative control. These controls provided benchmarks for comparing the antibacterial efficacy of </w:t>
      </w:r>
      <w:r>
        <w:rPr>
          <w:rFonts w:ascii="Times New Roman" w:hAnsi="Times New Roman" w:eastAsia="Times New Roman" w:cs="Times New Roman"/>
          <w:i/>
          <w:iCs/>
          <w:color w:val="000000" w:themeColor="text1"/>
          <w:sz w:val="24"/>
          <w:szCs w:val="24"/>
          <w14:textFill>
            <w14:solidFill>
              <w14:schemeClr w14:val="tx1"/>
            </w14:solidFill>
          </w14:textFill>
        </w:rPr>
        <w:t>B.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extracts.</w:t>
      </w:r>
    </w:p>
    <w:p w14:paraId="1C3F3194">
      <w:pPr>
        <w:pStyle w:val="2"/>
        <w:spacing w:after="0" w:line="480" w:lineRule="auto"/>
        <w:rPr>
          <w:rFonts w:eastAsia="Times New Roman"/>
        </w:rPr>
      </w:pPr>
      <w:bookmarkStart w:id="55" w:name="_Toc215132366"/>
      <w:bookmarkStart w:id="56" w:name="_Toc215016068"/>
      <w:r>
        <w:rPr>
          <w:rFonts w:eastAsia="Times New Roman"/>
        </w:rPr>
        <w:t>3.6</w:t>
      </w:r>
      <w:r>
        <w:rPr>
          <w:rFonts w:eastAsia="Times New Roman"/>
        </w:rPr>
        <w:tab/>
      </w:r>
      <w:r>
        <w:rPr>
          <w:rFonts w:eastAsia="Times New Roman"/>
        </w:rPr>
        <w:t>Antibacterial Sensitivity Test</w:t>
      </w:r>
      <w:bookmarkEnd w:id="55"/>
      <w:bookmarkEnd w:id="56"/>
    </w:p>
    <w:p w14:paraId="3F5DBDE7">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The antibacterial activity of </w:t>
      </w:r>
      <w:r>
        <w:rPr>
          <w:rFonts w:ascii="Times New Roman" w:hAnsi="Times New Roman" w:eastAsia="Times New Roman" w:cs="Times New Roman"/>
          <w:i/>
          <w:iCs/>
          <w:color w:val="000000" w:themeColor="text1"/>
          <w:sz w:val="24"/>
          <w:szCs w:val="24"/>
          <w14:textFill>
            <w14:solidFill>
              <w14:schemeClr w14:val="tx1"/>
            </w14:solidFill>
          </w14:textFill>
        </w:rPr>
        <w:t>Boscia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extracts was evaluated using the agar well diffusion method as described by (</w:t>
      </w:r>
      <w:r>
        <w:rPr>
          <w:rFonts w:ascii="Times New Roman" w:hAnsi="Times New Roman" w:eastAsia="Times New Roman" w:cs="Times New Roman"/>
          <w:sz w:val="24"/>
          <w:szCs w:val="24"/>
        </w:rPr>
        <w:t xml:space="preserve">Tseha </w:t>
      </w:r>
      <w:r>
        <w:rPr>
          <w:rFonts w:ascii="Times New Roman" w:hAnsi="Times New Roman" w:eastAsia="Times New Roman" w:cs="Times New Roman"/>
          <w:i/>
          <w:iCs/>
          <w:color w:val="000000" w:themeColor="text1"/>
          <w:sz w:val="24"/>
          <w:szCs w:val="24"/>
          <w14:textFill>
            <w14:solidFill>
              <w14:schemeClr w14:val="tx1"/>
            </w14:solidFill>
          </w14:textFill>
        </w:rPr>
        <w:t xml:space="preserve">et al., </w:t>
      </w:r>
      <w:r>
        <w:rPr>
          <w:rFonts w:ascii="Times New Roman" w:hAnsi="Times New Roman" w:eastAsia="Times New Roman" w:cs="Times New Roman"/>
          <w:color w:val="000000" w:themeColor="text1"/>
          <w:sz w:val="24"/>
          <w:szCs w:val="24"/>
          <w14:textFill>
            <w14:solidFill>
              <w14:schemeClr w14:val="tx1"/>
            </w14:solidFill>
          </w14:textFill>
        </w:rPr>
        <w:t>2022). Sterile cork borers (6 mm diameter) were used to punch wells in the solidified MHA plates inoculated with standardized bacterial suspensions. Each well was filled with 200 µL of extract concentrations (40 mg/mL, 60 mg/mL, and 80 mg/mL). Positive and negative control wells were filled with ciprofloxacin and DMSO, respectively.</w:t>
      </w:r>
    </w:p>
    <w:p w14:paraId="7DC494B3">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The plates were incubated at 37°C for 24 hours, after which the zones of inhibition around each well were measured in millimeters. The mean diameter of inhibition zones was recorded for each concentration to determine antibacterial potency (CLSI, 2020).</w:t>
      </w:r>
    </w:p>
    <w:p w14:paraId="79898D30">
      <w:pPr>
        <w:pStyle w:val="2"/>
        <w:spacing w:after="0" w:line="480" w:lineRule="auto"/>
        <w:rPr>
          <w:rFonts w:eastAsia="Times New Roman"/>
        </w:rPr>
      </w:pPr>
      <w:bookmarkStart w:id="57" w:name="_Toc215016069"/>
      <w:bookmarkStart w:id="58" w:name="_Toc215132367"/>
      <w:r>
        <w:rPr>
          <w:rFonts w:eastAsia="Times New Roman"/>
        </w:rPr>
        <w:t>3.7</w:t>
      </w:r>
      <w:r>
        <w:rPr>
          <w:rFonts w:eastAsia="Times New Roman"/>
        </w:rPr>
        <w:tab/>
      </w:r>
      <w:r>
        <w:rPr>
          <w:rFonts w:eastAsia="Times New Roman"/>
        </w:rPr>
        <w:t>Data Analysis</w:t>
      </w:r>
      <w:bookmarkEnd w:id="57"/>
      <w:bookmarkEnd w:id="58"/>
    </w:p>
    <w:p w14:paraId="2CFA5583">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Data collected from phytochemical and antibacterial tests were analyzed statistically using one-way analysis of variance (ANOVA) to determine significant differences in antibacterial activity among various extract concentrations and bacterial strains. Results were expressed as means ± standard deviation of triplicate determinations, and differences were considered statistically significant at </w:t>
      </w:r>
      <w:r>
        <w:rPr>
          <w:rFonts w:ascii="Times New Roman" w:hAnsi="Times New Roman" w:eastAsia="Times New Roman" w:cs="Times New Roman"/>
          <w:i/>
          <w:iCs/>
          <w:color w:val="000000" w:themeColor="text1"/>
          <w:sz w:val="24"/>
          <w:szCs w:val="24"/>
          <w14:textFill>
            <w14:solidFill>
              <w14:schemeClr w14:val="tx1"/>
            </w14:solidFill>
          </w14:textFill>
        </w:rPr>
        <w:t>p</w:t>
      </w:r>
      <w:r>
        <w:rPr>
          <w:rFonts w:ascii="Times New Roman" w:hAnsi="Times New Roman" w:eastAsia="Times New Roman" w:cs="Times New Roman"/>
          <w:color w:val="000000" w:themeColor="text1"/>
          <w:sz w:val="24"/>
          <w:szCs w:val="24"/>
          <w14:textFill>
            <w14:solidFill>
              <w14:schemeClr w14:val="tx1"/>
            </w14:solidFill>
          </w14:textFill>
        </w:rPr>
        <w:t xml:space="preserve"> ≤ 0.05 (Field, 2018).</w:t>
      </w:r>
    </w:p>
    <w:p w14:paraId="4A52344D">
      <w:pPr>
        <w:spacing w:before="240"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The findings were presented using tables and figures to show the relationship between extract concentration and inhibition zone diameter. This analysis provided a quantitative basis for interpreting the antibacterial efficacy and possible mechanisms of action of </w:t>
      </w:r>
      <w:r>
        <w:rPr>
          <w:rFonts w:ascii="Times New Roman" w:hAnsi="Times New Roman" w:eastAsia="Times New Roman" w:cs="Times New Roman"/>
          <w:i/>
          <w:iCs/>
          <w:color w:val="000000" w:themeColor="text1"/>
          <w:sz w:val="24"/>
          <w:szCs w:val="24"/>
          <w14:textFill>
            <w14:solidFill>
              <w14:schemeClr w14:val="tx1"/>
            </w14:solidFill>
          </w14:textFill>
        </w:rPr>
        <w:t>Boscia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extracts.</w:t>
      </w:r>
    </w:p>
    <w:p w14:paraId="67CE5210">
      <w:pPr>
        <w:pStyle w:val="2"/>
        <w:jc w:val="center"/>
        <w:rPr>
          <w:rFonts w:cs="Times New Roman"/>
          <w:b w:val="0"/>
          <w:bCs/>
          <w:szCs w:val="24"/>
        </w:rPr>
      </w:pPr>
    </w:p>
    <w:p w14:paraId="712F0F7E">
      <w:pPr>
        <w:pStyle w:val="2"/>
        <w:jc w:val="center"/>
        <w:rPr>
          <w:rFonts w:cs="Times New Roman"/>
          <w:b w:val="0"/>
          <w:bCs/>
          <w:szCs w:val="24"/>
        </w:rPr>
      </w:pPr>
    </w:p>
    <w:p w14:paraId="35725341">
      <w:pPr>
        <w:pStyle w:val="2"/>
        <w:jc w:val="center"/>
        <w:rPr>
          <w:rFonts w:cs="Times New Roman"/>
          <w:b w:val="0"/>
          <w:bCs/>
          <w:szCs w:val="24"/>
        </w:rPr>
      </w:pPr>
    </w:p>
    <w:p w14:paraId="7DF0AF77">
      <w:pPr>
        <w:pStyle w:val="2"/>
        <w:jc w:val="center"/>
        <w:rPr>
          <w:rFonts w:cs="Times New Roman"/>
          <w:b w:val="0"/>
          <w:bCs/>
          <w:szCs w:val="24"/>
        </w:rPr>
      </w:pPr>
    </w:p>
    <w:p w14:paraId="158853AE">
      <w:pPr>
        <w:pStyle w:val="2"/>
        <w:jc w:val="center"/>
        <w:rPr>
          <w:rFonts w:cs="Times New Roman"/>
          <w:b w:val="0"/>
          <w:bCs/>
          <w:szCs w:val="24"/>
        </w:rPr>
      </w:pPr>
    </w:p>
    <w:p w14:paraId="29FEFFF9">
      <w:pPr>
        <w:pStyle w:val="2"/>
        <w:jc w:val="center"/>
        <w:rPr>
          <w:rFonts w:cs="Times New Roman"/>
          <w:b w:val="0"/>
          <w:bCs/>
          <w:szCs w:val="24"/>
        </w:rPr>
      </w:pPr>
    </w:p>
    <w:p w14:paraId="65E50962">
      <w:pPr>
        <w:pStyle w:val="2"/>
        <w:rPr>
          <w:rFonts w:cs="Times New Roman"/>
          <w:b w:val="0"/>
          <w:bCs/>
          <w:szCs w:val="24"/>
        </w:rPr>
      </w:pPr>
    </w:p>
    <w:p w14:paraId="1EA5D184">
      <w:pPr>
        <w:pStyle w:val="2"/>
        <w:jc w:val="center"/>
        <w:rPr>
          <w:rFonts w:cs="Times New Roman"/>
          <w:b w:val="0"/>
          <w:bCs/>
          <w:szCs w:val="24"/>
        </w:rPr>
      </w:pPr>
    </w:p>
    <w:p w14:paraId="5A63716B">
      <w:pPr>
        <w:pStyle w:val="2"/>
        <w:jc w:val="center"/>
        <w:rPr>
          <w:rFonts w:cs="Times New Roman"/>
          <w:b w:val="0"/>
          <w:bCs/>
          <w:szCs w:val="24"/>
        </w:rPr>
      </w:pPr>
    </w:p>
    <w:p w14:paraId="104DBFBF">
      <w:pPr>
        <w:pStyle w:val="2"/>
        <w:rPr>
          <w:rFonts w:cs="Times New Roman"/>
          <w:b w:val="0"/>
          <w:bCs/>
          <w:szCs w:val="24"/>
        </w:rPr>
      </w:pPr>
    </w:p>
    <w:p w14:paraId="32E8EAFE">
      <w:pPr>
        <w:rPr>
          <w:rFonts w:ascii="Times New Roman" w:hAnsi="Times New Roman" w:cs="Times New Roman" w:eastAsiaTheme="majorEastAsia"/>
          <w:b/>
          <w:bCs/>
          <w:color w:val="000000" w:themeColor="text1"/>
          <w:sz w:val="24"/>
          <w:szCs w:val="24"/>
          <w14:textFill>
            <w14:solidFill>
              <w14:schemeClr w14:val="tx1"/>
            </w14:solidFill>
          </w14:textFill>
        </w:rPr>
      </w:pPr>
    </w:p>
    <w:p w14:paraId="6ED4CF8A"/>
    <w:p w14:paraId="431742BA">
      <w:pPr>
        <w:pStyle w:val="2"/>
        <w:jc w:val="both"/>
        <w:rPr>
          <w:rFonts w:eastAsia="Times New Roman" w:cs="Times New Roman"/>
          <w:szCs w:val="24"/>
        </w:rPr>
      </w:pPr>
    </w:p>
    <w:p w14:paraId="6E67AFE3">
      <w:pPr>
        <w:pStyle w:val="2"/>
        <w:jc w:val="both"/>
        <w:rPr>
          <w:rFonts w:eastAsia="Times New Roman" w:cs="Times New Roman"/>
          <w:szCs w:val="24"/>
        </w:rPr>
      </w:pPr>
    </w:p>
    <w:p w14:paraId="1C8B0375">
      <w:pPr>
        <w:pStyle w:val="2"/>
        <w:jc w:val="both"/>
        <w:rPr>
          <w:rFonts w:eastAsia="Times New Roman" w:cs="Times New Roman"/>
          <w:szCs w:val="24"/>
        </w:rPr>
      </w:pPr>
    </w:p>
    <w:p w14:paraId="334F0FCF"/>
    <w:p w14:paraId="300275D6">
      <w:pPr>
        <w:pStyle w:val="2"/>
        <w:spacing w:before="0" w:after="0" w:line="480" w:lineRule="auto"/>
        <w:jc w:val="center"/>
      </w:pPr>
      <w:bookmarkStart w:id="59" w:name="_Toc215132368"/>
      <w:bookmarkStart w:id="60" w:name="_Toc215016070"/>
      <w:r>
        <w:t>CHAPTER FOUR</w:t>
      </w:r>
      <w:bookmarkEnd w:id="59"/>
      <w:bookmarkEnd w:id="60"/>
    </w:p>
    <w:p w14:paraId="752AC11D">
      <w:pPr>
        <w:pStyle w:val="2"/>
        <w:spacing w:before="0" w:after="0" w:line="480" w:lineRule="auto"/>
        <w:jc w:val="center"/>
      </w:pPr>
      <w:bookmarkStart w:id="61" w:name="_Toc215132369"/>
      <w:r>
        <w:t>RESULTS</w:t>
      </w:r>
      <w:bookmarkEnd w:id="61"/>
    </w:p>
    <w:p w14:paraId="1C1052D5">
      <w:pPr>
        <w:pStyle w:val="2"/>
        <w:spacing w:after="0" w:line="480" w:lineRule="auto"/>
      </w:pPr>
      <w:bookmarkStart w:id="62" w:name="_Toc215132370"/>
      <w:r>
        <w:t>4.1</w:t>
      </w:r>
      <w:r>
        <w:tab/>
      </w:r>
      <w:r>
        <w:t xml:space="preserve">Phytochemical Composition of </w:t>
      </w:r>
      <w:r>
        <w:rPr>
          <w:i/>
          <w:iCs/>
        </w:rPr>
        <w:t>Boscia</w:t>
      </w:r>
      <w:r>
        <w:rPr>
          <w:rFonts w:eastAsia="Times New Roman"/>
          <w:i/>
          <w:iCs/>
        </w:rPr>
        <w:t xml:space="preserve"> angustifolia</w:t>
      </w:r>
      <w:bookmarkEnd w:id="62"/>
      <w:r>
        <w:rPr>
          <w:rFonts w:eastAsia="Times New Roman"/>
          <w:iCs/>
        </w:rPr>
        <w:t xml:space="preserve"> root extracts.</w:t>
      </w:r>
    </w:p>
    <w:p w14:paraId="3946791D">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The qualitative phytochemical screening of </w:t>
      </w:r>
      <w:r>
        <w:rPr>
          <w:rFonts w:ascii="Times New Roman" w:hAnsi="Times New Roman" w:cs="Times New Roman"/>
          <w:i/>
          <w:iCs/>
          <w:color w:val="000000" w:themeColor="text1"/>
          <w:sz w:val="24"/>
          <w:szCs w:val="24"/>
          <w14:textFill>
            <w14:solidFill>
              <w14:schemeClr w14:val="tx1"/>
            </w14:solidFill>
          </w14:textFill>
        </w:rPr>
        <w:t xml:space="preserve">Boscia </w:t>
      </w:r>
      <w:r>
        <w:rPr>
          <w:rFonts w:ascii="Times New Roman" w:hAnsi="Times New Roman" w:eastAsia="Times New Roman" w:cs="Times New Roman"/>
          <w:i/>
          <w:iCs/>
          <w:color w:val="000000" w:themeColor="text1"/>
          <w:sz w:val="24"/>
          <w:szCs w:val="24"/>
          <w14:textFill>
            <w14:solidFill>
              <w14:schemeClr w14:val="tx1"/>
            </w14:solidFill>
          </w14:textFill>
        </w:rPr>
        <w:t>angustifolia</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extracts revealed the presence of several bioactive compounds known for their antimicrobial properties. As shown in Table 4.1, saponins and alkaloids were abundantly present, while flavonoids and saponin glycosides were detected in moderate amounts. Tannins, volatile oils, anthraquinones, and steroids were not detected in the extract.</w:t>
      </w:r>
    </w:p>
    <w:p w14:paraId="5FA12F2A">
      <w:pPr>
        <w:keepNext/>
        <w:spacing w:after="0" w:line="36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Table 4.1: </w:t>
      </w:r>
      <w:r>
        <w:rPr>
          <w:rFonts w:ascii="Times New Roman" w:hAnsi="Times New Roman" w:cs="Times New Roman"/>
          <w:color w:val="000000" w:themeColor="text1"/>
          <w:sz w:val="24"/>
          <w:szCs w:val="24"/>
          <w14:textFill>
            <w14:solidFill>
              <w14:schemeClr w14:val="tx1"/>
            </w14:solidFill>
          </w14:textFill>
        </w:rPr>
        <w:t xml:space="preserve">Phytochemical constituents of </w:t>
      </w:r>
      <w:r>
        <w:rPr>
          <w:rFonts w:ascii="Times New Roman" w:hAnsi="Times New Roman" w:cs="Times New Roman"/>
          <w:i/>
          <w:iCs/>
          <w:color w:val="000000" w:themeColor="text1"/>
          <w:sz w:val="24"/>
          <w:szCs w:val="24"/>
          <w14:textFill>
            <w14:solidFill>
              <w14:schemeClr w14:val="tx1"/>
            </w14:solidFill>
          </w14:textFill>
        </w:rPr>
        <w:t>Boscia</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angustifolia</w:t>
      </w:r>
      <w:r>
        <w:rPr>
          <w:rFonts w:ascii="Times New Roman" w:hAnsi="Times New Roman" w:cs="Times New Roman"/>
          <w:color w:val="000000" w:themeColor="text1"/>
          <w:sz w:val="24"/>
          <w:szCs w:val="24"/>
          <w14:textFill>
            <w14:solidFill>
              <w14:schemeClr w14:val="tx1"/>
            </w14:solidFill>
          </w14:textFill>
        </w:rPr>
        <w:t xml:space="preserve"> root extracts.</w:t>
      </w:r>
    </w:p>
    <w:p w14:paraId="6776FBFB">
      <w:pPr>
        <w:pStyle w:val="14"/>
        <w:spacing w:after="0"/>
        <w:jc w:val="both"/>
        <w:rPr>
          <w:color w:val="FFFFFF" w:themeColor="background1"/>
          <w:sz w:val="2"/>
          <w:szCs w:val="2"/>
          <w14:textFill>
            <w14:solidFill>
              <w14:schemeClr w14:val="bg1"/>
            </w14:solidFill>
          </w14:textFill>
        </w:rPr>
      </w:pPr>
      <w:bookmarkStart w:id="63" w:name="_Toc215132378"/>
      <w:r>
        <w:rPr>
          <w:color w:val="FFFFFF" w:themeColor="background1"/>
          <w:sz w:val="2"/>
          <w:szCs w:val="2"/>
          <w14:textFill>
            <w14:solidFill>
              <w14:schemeClr w14:val="bg1"/>
            </w14:solidFill>
          </w14:textFill>
        </w:rPr>
        <w:t xml:space="preserve">Table </w:t>
      </w:r>
      <w:r>
        <w:rPr>
          <w:color w:val="FFFFFF" w:themeColor="background1"/>
          <w:sz w:val="2"/>
          <w:szCs w:val="2"/>
          <w14:textFill>
            <w14:solidFill>
              <w14:schemeClr w14:val="bg1"/>
            </w14:solidFill>
          </w14:textFill>
        </w:rPr>
        <w:fldChar w:fldCharType="begin"/>
      </w:r>
      <w:r>
        <w:rPr>
          <w:color w:val="FFFFFF" w:themeColor="background1"/>
          <w:sz w:val="2"/>
          <w:szCs w:val="2"/>
          <w14:textFill>
            <w14:solidFill>
              <w14:schemeClr w14:val="bg1"/>
            </w14:solidFill>
          </w14:textFill>
        </w:rPr>
        <w:instrText xml:space="preserve"> SEQ Table \* ARABIC </w:instrText>
      </w:r>
      <w:r>
        <w:rPr>
          <w:color w:val="FFFFFF" w:themeColor="background1"/>
          <w:sz w:val="2"/>
          <w:szCs w:val="2"/>
          <w14:textFill>
            <w14:solidFill>
              <w14:schemeClr w14:val="bg1"/>
            </w14:solidFill>
          </w14:textFill>
        </w:rPr>
        <w:fldChar w:fldCharType="separate"/>
      </w:r>
      <w:r>
        <w:rPr>
          <w:color w:val="FFFFFF" w:themeColor="background1"/>
          <w:sz w:val="2"/>
          <w:szCs w:val="2"/>
          <w14:textFill>
            <w14:solidFill>
              <w14:schemeClr w14:val="bg1"/>
            </w14:solidFill>
          </w14:textFill>
        </w:rPr>
        <w:t>1</w:t>
      </w:r>
      <w:r>
        <w:rPr>
          <w:color w:val="FFFFFF" w:themeColor="background1"/>
          <w:sz w:val="2"/>
          <w:szCs w:val="2"/>
          <w14:textFill>
            <w14:solidFill>
              <w14:schemeClr w14:val="bg1"/>
            </w14:solidFill>
          </w14:textFill>
        </w:rPr>
        <w:fldChar w:fldCharType="end"/>
      </w:r>
      <w:r>
        <w:rPr>
          <w:color w:val="FFFFFF" w:themeColor="background1"/>
          <w:sz w:val="2"/>
          <w:szCs w:val="2"/>
          <w14:textFill>
            <w14:solidFill>
              <w14:schemeClr w14:val="bg1"/>
            </w14:solidFill>
          </w14:textFill>
        </w:rPr>
        <w:t>: Table 4.1: Phytochemical constituents extract of Boscia angustifolia</w:t>
      </w:r>
      <w:bookmarkEnd w:id="63"/>
    </w:p>
    <w:tbl>
      <w:tblPr>
        <w:tblStyle w:val="22"/>
        <w:tblW w:w="0" w:type="auto"/>
        <w:tblInd w:w="0"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94"/>
        <w:gridCol w:w="4666"/>
      </w:tblGrid>
      <w:tr w14:paraId="66369590">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4694" w:type="dxa"/>
            <w:tcBorders>
              <w:top w:val="single" w:color="000000" w:themeColor="text1" w:sz="4" w:space="0"/>
              <w:bottom w:val="single" w:color="auto" w:sz="4" w:space="0"/>
            </w:tcBorders>
          </w:tcPr>
          <w:p w14:paraId="459B5219">
            <w:pPr>
              <w:spacing w:after="0" w:line="480" w:lineRule="auto"/>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 Phytochemicals </w:t>
            </w:r>
          </w:p>
        </w:tc>
        <w:tc>
          <w:tcPr>
            <w:tcW w:w="4666" w:type="dxa"/>
            <w:tcBorders>
              <w:top w:val="single" w:color="000000" w:themeColor="text1" w:sz="4" w:space="0"/>
              <w:bottom w:val="single" w:color="auto" w:sz="4" w:space="0"/>
            </w:tcBorders>
          </w:tcPr>
          <w:p w14:paraId="72A95BE0">
            <w:pPr>
              <w:spacing w:after="0" w:line="480" w:lineRule="auto"/>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Results</w:t>
            </w:r>
          </w:p>
        </w:tc>
      </w:tr>
      <w:tr w14:paraId="67DBF0AF">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94" w:type="dxa"/>
            <w:tcBorders>
              <w:top w:val="single" w:color="auto" w:sz="4" w:space="0"/>
            </w:tcBorders>
          </w:tcPr>
          <w:p w14:paraId="57149273">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Flavonoids</w:t>
            </w:r>
          </w:p>
        </w:tc>
        <w:tc>
          <w:tcPr>
            <w:tcW w:w="4666" w:type="dxa"/>
            <w:tcBorders>
              <w:top w:val="single" w:color="auto" w:sz="4" w:space="0"/>
            </w:tcBorders>
          </w:tcPr>
          <w:p w14:paraId="4B431726">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p>
        </w:tc>
      </w:tr>
      <w:tr w14:paraId="399AA012">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94" w:type="dxa"/>
          </w:tcPr>
          <w:p w14:paraId="7BAD4848">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Tannins</w:t>
            </w:r>
          </w:p>
        </w:tc>
        <w:tc>
          <w:tcPr>
            <w:tcW w:w="4666" w:type="dxa"/>
          </w:tcPr>
          <w:p w14:paraId="41BAE2C6">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ND</w:t>
            </w:r>
          </w:p>
        </w:tc>
      </w:tr>
      <w:tr w14:paraId="3B948356">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94" w:type="dxa"/>
          </w:tcPr>
          <w:p w14:paraId="7BFB99B8">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Saponins</w:t>
            </w:r>
          </w:p>
        </w:tc>
        <w:tc>
          <w:tcPr>
            <w:tcW w:w="4666" w:type="dxa"/>
          </w:tcPr>
          <w:p w14:paraId="7E45171C">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p>
        </w:tc>
      </w:tr>
      <w:tr w14:paraId="48FB6D32">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94" w:type="dxa"/>
          </w:tcPr>
          <w:p w14:paraId="4B7F3EF3">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Alkaloids</w:t>
            </w:r>
          </w:p>
        </w:tc>
        <w:tc>
          <w:tcPr>
            <w:tcW w:w="4666" w:type="dxa"/>
          </w:tcPr>
          <w:p w14:paraId="6B9EDFC5">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p>
        </w:tc>
      </w:tr>
      <w:tr w14:paraId="6CE2EEDE">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94" w:type="dxa"/>
          </w:tcPr>
          <w:p w14:paraId="7098EEE7">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Volatile oils </w:t>
            </w:r>
          </w:p>
        </w:tc>
        <w:tc>
          <w:tcPr>
            <w:tcW w:w="4666" w:type="dxa"/>
          </w:tcPr>
          <w:p w14:paraId="361208A8">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ND</w:t>
            </w:r>
          </w:p>
        </w:tc>
      </w:tr>
      <w:tr w14:paraId="170CDDB3">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94" w:type="dxa"/>
          </w:tcPr>
          <w:p w14:paraId="58F2B2AF">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Saponin Glycosides</w:t>
            </w:r>
          </w:p>
        </w:tc>
        <w:tc>
          <w:tcPr>
            <w:tcW w:w="4666" w:type="dxa"/>
          </w:tcPr>
          <w:p w14:paraId="71BDBD1C">
            <w:pPr>
              <w:spacing w:after="0" w:line="480" w:lineRule="auto"/>
              <w:jc w:val="center"/>
              <w:rPr>
                <w:rFonts w:ascii="Times New Roman" w:hAnsi="Times New Roman" w:cs="Times New Roman"/>
                <w:color w:val="000000" w:themeColor="text1"/>
                <w:sz w:val="24"/>
                <w:szCs w:val="24"/>
                <w:vertAlign w:val="subscript"/>
                <w14:textFill>
                  <w14:solidFill>
                    <w14:schemeClr w14:val="tx1"/>
                  </w14:solidFill>
                </w14:textFill>
              </w:rPr>
            </w:pPr>
            <w:r>
              <w:rPr>
                <w:rFonts w:ascii="Times New Roman" w:hAnsi="Times New Roman" w:cs="Times New Roman"/>
                <w:color w:val="000000" w:themeColor="text1"/>
                <w:sz w:val="24"/>
                <w:szCs w:val="24"/>
                <w:vertAlign w:val="subscript"/>
                <w14:textFill>
                  <w14:solidFill>
                    <w14:schemeClr w14:val="tx1"/>
                  </w14:solidFill>
                </w14:textFill>
              </w:rPr>
              <w:t>+</w:t>
            </w:r>
          </w:p>
        </w:tc>
      </w:tr>
      <w:tr w14:paraId="67BB0E8A">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94" w:type="dxa"/>
          </w:tcPr>
          <w:p w14:paraId="63A1DFB0">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Antrquinones</w:t>
            </w:r>
          </w:p>
        </w:tc>
        <w:tc>
          <w:tcPr>
            <w:tcW w:w="4666" w:type="dxa"/>
          </w:tcPr>
          <w:p w14:paraId="540F3D9A">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ND</w:t>
            </w:r>
          </w:p>
        </w:tc>
      </w:tr>
      <w:tr w14:paraId="4F823F3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94" w:type="dxa"/>
          </w:tcPr>
          <w:p w14:paraId="0E29BCEC">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Steroids (SalKowSKi test)</w:t>
            </w:r>
          </w:p>
        </w:tc>
        <w:tc>
          <w:tcPr>
            <w:tcW w:w="4666" w:type="dxa"/>
          </w:tcPr>
          <w:p w14:paraId="724155B7">
            <w:pPr>
              <w:spacing w:after="0"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ND</w:t>
            </w:r>
          </w:p>
        </w:tc>
      </w:tr>
    </w:tbl>
    <w:p w14:paraId="52C03D5B">
      <w:pPr>
        <w:pStyle w:val="19"/>
        <w:jc w:val="both"/>
        <w:rPr>
          <w:color w:val="000000" w:themeColor="text1"/>
          <w:sz w:val="20"/>
          <w:szCs w:val="20"/>
          <w14:textFill>
            <w14:solidFill>
              <w14:schemeClr w14:val="tx1"/>
            </w14:solidFill>
          </w14:textFill>
        </w:rPr>
      </w:pPr>
      <w:r>
        <w:rPr>
          <w:rStyle w:val="20"/>
          <w:rFonts w:eastAsiaTheme="majorEastAsia"/>
          <w:color w:val="000000" w:themeColor="text1"/>
          <w:sz w:val="20"/>
          <w:szCs w:val="20"/>
          <w14:textFill>
            <w14:solidFill>
              <w14:schemeClr w14:val="tx1"/>
            </w14:solidFill>
          </w14:textFill>
        </w:rPr>
        <w:t>Key:</w:t>
      </w:r>
      <w:r>
        <w:rPr>
          <w:color w:val="000000" w:themeColor="text1"/>
          <w:sz w:val="20"/>
          <w:szCs w:val="20"/>
          <w14:textFill>
            <w14:solidFill>
              <w14:schemeClr w14:val="tx1"/>
            </w14:solidFill>
          </w14:textFill>
        </w:rPr>
        <w:t xml:space="preserve"> </w:t>
      </w:r>
    </w:p>
    <w:p w14:paraId="33FEA91F">
      <w:pPr>
        <w:pStyle w:val="19"/>
        <w:jc w:val="both"/>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 = Present in trace;</w:t>
      </w:r>
    </w:p>
    <w:p w14:paraId="080EF2FB">
      <w:pPr>
        <w:pStyle w:val="19"/>
        <w:jc w:val="both"/>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 = Moderately present;</w:t>
      </w:r>
    </w:p>
    <w:p w14:paraId="408C375D">
      <w:pPr>
        <w:pStyle w:val="19"/>
        <w:jc w:val="both"/>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 xml:space="preserve"> +++ = Abundant;</w:t>
      </w:r>
    </w:p>
    <w:p w14:paraId="5E34C842">
      <w:pPr>
        <w:pStyle w:val="19"/>
        <w:jc w:val="both"/>
        <w:rPr>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w:t xml:space="preserve"> ND = Not detected</w:t>
      </w:r>
    </w:p>
    <w:p w14:paraId="54023E89">
      <w:pPr>
        <w:pStyle w:val="19"/>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The high concentration of saponins and alkaloids suggests that these compounds may play a major role in the antibacterial activity of the extract. Saponins are known to disrupt microbial cell membranes, while alkaloids often interfere with DNA replication or protein synthesis (</w:t>
      </w:r>
      <w:r>
        <w:t>Pikhtirova</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et al.,</w:t>
      </w:r>
      <w:r>
        <w:rPr>
          <w:color w:val="000000" w:themeColor="text1"/>
          <w14:textFill>
            <w14:solidFill>
              <w14:schemeClr w14:val="tx1"/>
            </w14:solidFill>
          </w14:textFill>
        </w:rPr>
        <w:t xml:space="preserve"> 2023). The absence of volatile oils and steroids indicates that the antibacterial effects observed are more likely linked to non-volatile secondary metabolites</w:t>
      </w:r>
    </w:p>
    <w:p w14:paraId="1D355EEB">
      <w:pPr>
        <w:pStyle w:val="2"/>
        <w:spacing w:after="0" w:line="480" w:lineRule="auto"/>
        <w:rPr>
          <w:rFonts w:eastAsia="Times New Roman"/>
        </w:rPr>
      </w:pPr>
      <w:bookmarkStart w:id="64" w:name="_Toc215132371"/>
      <w:bookmarkStart w:id="65" w:name="_Toc215016071"/>
      <w:r>
        <w:rPr>
          <w:rFonts w:eastAsia="Times New Roman"/>
        </w:rPr>
        <w:t>4.2</w:t>
      </w:r>
      <w:r>
        <w:rPr>
          <w:rFonts w:eastAsia="Times New Roman"/>
        </w:rPr>
        <w:tab/>
      </w:r>
      <w:r>
        <w:rPr>
          <w:rFonts w:eastAsia="Times New Roman"/>
        </w:rPr>
        <w:t xml:space="preserve">Antibacterial Activity of </w:t>
      </w:r>
      <w:r>
        <w:rPr>
          <w:rFonts w:eastAsia="Times New Roman"/>
          <w:i/>
          <w:iCs/>
        </w:rPr>
        <w:t>Boscia angustifolia</w:t>
      </w:r>
      <w:bookmarkEnd w:id="64"/>
      <w:bookmarkEnd w:id="65"/>
    </w:p>
    <w:p w14:paraId="23872C1F">
      <w:pPr>
        <w:spacing w:after="0" w:line="48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The antibacterial assay was performed using the agar well diffusion method. The extract demonstrated measurable inhibitory effects against </w:t>
      </w:r>
      <w:r>
        <w:rPr>
          <w:rFonts w:ascii="Times New Roman" w:hAnsi="Times New Roman" w:eastAsia="Times New Roman" w:cs="Times New Roman"/>
          <w:i/>
          <w:iCs/>
          <w:color w:val="000000" w:themeColor="text1"/>
          <w:sz w:val="24"/>
          <w:szCs w:val="24"/>
          <w14:textFill>
            <w14:solidFill>
              <w14:schemeClr w14:val="tx1"/>
            </w14:solidFill>
          </w14:textFill>
        </w:rPr>
        <w:t>Klebsiella</w:t>
      </w:r>
      <w:r>
        <w:rPr>
          <w:rFonts w:ascii="Times New Roman" w:hAnsi="Times New Roman" w:eastAsia="Times New Roman" w:cs="Times New Roman"/>
          <w:color w:val="000000" w:themeColor="text1"/>
          <w:sz w:val="24"/>
          <w:szCs w:val="24"/>
          <w14:textFill>
            <w14:solidFill>
              <w14:schemeClr w14:val="tx1"/>
            </w14:solidFill>
          </w14:textFill>
        </w:rPr>
        <w:t xml:space="preserve"> and </w:t>
      </w:r>
      <w:r>
        <w:rPr>
          <w:rFonts w:ascii="Times New Roman" w:hAnsi="Times New Roman" w:eastAsia="Times New Roman" w:cs="Times New Roman"/>
          <w:i/>
          <w:iCs/>
          <w:color w:val="000000" w:themeColor="text1"/>
          <w:sz w:val="24"/>
          <w:szCs w:val="24"/>
          <w14:textFill>
            <w14:solidFill>
              <w14:schemeClr w14:val="tx1"/>
            </w14:solidFill>
          </w14:textFill>
        </w:rPr>
        <w:t>Bacillus</w:t>
      </w:r>
      <w:r>
        <w:rPr>
          <w:rFonts w:ascii="Times New Roman" w:hAnsi="Times New Roman" w:eastAsia="Times New Roman" w:cs="Times New Roman"/>
          <w:color w:val="000000" w:themeColor="text1"/>
          <w:sz w:val="24"/>
          <w:szCs w:val="24"/>
          <w14:textFill>
            <w14:solidFill>
              <w14:schemeClr w14:val="tx1"/>
            </w14:solidFill>
          </w14:textFill>
        </w:rPr>
        <w:t xml:space="preserve"> species at all concentrations tested (40 mg/mL, 60 mg/mL, and 80 mg/mL). No zones of inhibition were observed for </w:t>
      </w:r>
      <w:r>
        <w:rPr>
          <w:rFonts w:ascii="Times New Roman" w:hAnsi="Times New Roman" w:eastAsia="Times New Roman" w:cs="Times New Roman"/>
          <w:i/>
          <w:iCs/>
          <w:color w:val="000000" w:themeColor="text1"/>
          <w:sz w:val="24"/>
          <w:szCs w:val="24"/>
          <w14:textFill>
            <w14:solidFill>
              <w14:schemeClr w14:val="tx1"/>
            </w14:solidFill>
          </w14:textFill>
        </w:rPr>
        <w:t>Escherichia coli</w:t>
      </w:r>
      <w:r>
        <w:rPr>
          <w:rFonts w:ascii="Times New Roman" w:hAnsi="Times New Roman" w:eastAsia="Times New Roman" w:cs="Times New Roman"/>
          <w:color w:val="000000" w:themeColor="text1"/>
          <w:sz w:val="24"/>
          <w:szCs w:val="24"/>
          <w14:textFill>
            <w14:solidFill>
              <w14:schemeClr w14:val="tx1"/>
            </w14:solidFill>
          </w14:textFill>
        </w:rPr>
        <w:t xml:space="preserve"> and </w:t>
      </w:r>
      <w:r>
        <w:rPr>
          <w:rFonts w:ascii="Times New Roman" w:hAnsi="Times New Roman" w:eastAsia="Times New Roman" w:cs="Times New Roman"/>
          <w:i/>
          <w:iCs/>
          <w:color w:val="000000" w:themeColor="text1"/>
          <w:sz w:val="24"/>
          <w:szCs w:val="24"/>
          <w14:textFill>
            <w14:solidFill>
              <w14:schemeClr w14:val="tx1"/>
            </w14:solidFill>
          </w14:textFill>
        </w:rPr>
        <w:t>Staphylococcus aureus</w:t>
      </w:r>
      <w:r>
        <w:rPr>
          <w:rFonts w:ascii="Times New Roman" w:hAnsi="Times New Roman" w:eastAsia="Times New Roman" w:cs="Times New Roman"/>
          <w:color w:val="000000" w:themeColor="text1"/>
          <w:sz w:val="24"/>
          <w:szCs w:val="24"/>
          <w14:textFill>
            <w14:solidFill>
              <w14:schemeClr w14:val="tx1"/>
            </w14:solidFill>
          </w14:textFill>
        </w:rPr>
        <w:t>, indicating species-specific antibacterial activity.</w:t>
      </w:r>
    </w:p>
    <w:p w14:paraId="30CDF31C">
      <w:pPr>
        <w:keepNext/>
        <w:spacing w:after="0" w:line="276" w:lineRule="auto"/>
        <w:rPr>
          <w:rStyle w:val="20"/>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sz w:val="24"/>
          <w:szCs w:val="24"/>
        </w:rPr>
        <w:t xml:space="preserve">Table 4.2 </w:t>
      </w:r>
      <w:r>
        <w:rPr>
          <w:rFonts w:ascii="Times New Roman" w:hAnsi="Times New Roman" w:eastAsia="Times New Roman" w:cs="Times New Roman"/>
          <w:color w:val="000000" w:themeColor="text1"/>
          <w:sz w:val="24"/>
          <w:szCs w:val="24"/>
          <w14:textFill>
            <w14:solidFill>
              <w14:schemeClr w14:val="tx1"/>
            </w14:solidFill>
          </w14:textFill>
        </w:rPr>
        <w:t xml:space="preserve">Antibacterial activity of roots extract of </w:t>
      </w:r>
      <w:r>
        <w:rPr>
          <w:rFonts w:ascii="Times New Roman" w:hAnsi="Times New Roman" w:eastAsia="Times New Roman" w:cs="Times New Roman"/>
          <w:i/>
          <w:iCs/>
          <w:color w:val="000000" w:themeColor="text1"/>
          <w:sz w:val="24"/>
          <w:szCs w:val="24"/>
          <w14:textFill>
            <w14:solidFill>
              <w14:schemeClr w14:val="tx1"/>
            </w14:solidFill>
          </w14:textFill>
        </w:rPr>
        <w:t>Boscia angustifolia</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1AEB3FD8">
      <w:pPr>
        <w:pStyle w:val="14"/>
        <w:spacing w:after="0"/>
        <w:rPr>
          <w:color w:val="FFFFFF" w:themeColor="background1"/>
          <w:sz w:val="2"/>
          <w:szCs w:val="2"/>
          <w14:textFill>
            <w14:solidFill>
              <w14:schemeClr w14:val="bg1"/>
            </w14:solidFill>
          </w14:textFill>
        </w:rPr>
      </w:pPr>
      <w:bookmarkStart w:id="66" w:name="_Toc215132379"/>
      <w:r>
        <w:rPr>
          <w:color w:val="FFFFFF" w:themeColor="background1"/>
          <w:sz w:val="2"/>
          <w:szCs w:val="2"/>
          <w14:textFill>
            <w14:solidFill>
              <w14:schemeClr w14:val="bg1"/>
            </w14:solidFill>
          </w14:textFill>
        </w:rPr>
        <w:t xml:space="preserve">Table </w:t>
      </w:r>
      <w:r>
        <w:rPr>
          <w:color w:val="FFFFFF" w:themeColor="background1"/>
          <w:sz w:val="2"/>
          <w:szCs w:val="2"/>
          <w14:textFill>
            <w14:solidFill>
              <w14:schemeClr w14:val="bg1"/>
            </w14:solidFill>
          </w14:textFill>
        </w:rPr>
        <w:fldChar w:fldCharType="begin"/>
      </w:r>
      <w:r>
        <w:rPr>
          <w:color w:val="FFFFFF" w:themeColor="background1"/>
          <w:sz w:val="2"/>
          <w:szCs w:val="2"/>
          <w14:textFill>
            <w14:solidFill>
              <w14:schemeClr w14:val="bg1"/>
            </w14:solidFill>
          </w14:textFill>
        </w:rPr>
        <w:instrText xml:space="preserve"> SEQ Table \* ARABIC </w:instrText>
      </w:r>
      <w:r>
        <w:rPr>
          <w:color w:val="FFFFFF" w:themeColor="background1"/>
          <w:sz w:val="2"/>
          <w:szCs w:val="2"/>
          <w14:textFill>
            <w14:solidFill>
              <w14:schemeClr w14:val="bg1"/>
            </w14:solidFill>
          </w14:textFill>
        </w:rPr>
        <w:fldChar w:fldCharType="separate"/>
      </w:r>
      <w:r>
        <w:rPr>
          <w:color w:val="FFFFFF" w:themeColor="background1"/>
          <w:sz w:val="2"/>
          <w:szCs w:val="2"/>
          <w14:textFill>
            <w14:solidFill>
              <w14:schemeClr w14:val="bg1"/>
            </w14:solidFill>
          </w14:textFill>
        </w:rPr>
        <w:t>2</w:t>
      </w:r>
      <w:r>
        <w:rPr>
          <w:color w:val="FFFFFF" w:themeColor="background1"/>
          <w:sz w:val="2"/>
          <w:szCs w:val="2"/>
          <w14:textFill>
            <w14:solidFill>
              <w14:schemeClr w14:val="bg1"/>
            </w14:solidFill>
          </w14:textFill>
        </w:rPr>
        <w:fldChar w:fldCharType="end"/>
      </w:r>
      <w:r>
        <w:rPr>
          <w:color w:val="FFFFFF" w:themeColor="background1"/>
          <w:sz w:val="2"/>
          <w:szCs w:val="2"/>
          <w14:textFill>
            <w14:solidFill>
              <w14:schemeClr w14:val="bg1"/>
            </w14:solidFill>
          </w14:textFill>
        </w:rPr>
        <w:t>: Table 4.2 Antibacterial activity of roots extract of Boscia angustifolia</w:t>
      </w:r>
      <w:bookmarkEnd w:id="66"/>
    </w:p>
    <w:tbl>
      <w:tblPr>
        <w:tblStyle w:val="22"/>
        <w:tblW w:w="10080" w:type="dxa"/>
        <w:tblInd w:w="-185"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80"/>
        <w:gridCol w:w="1685"/>
        <w:gridCol w:w="1375"/>
        <w:gridCol w:w="1350"/>
        <w:gridCol w:w="2340"/>
        <w:gridCol w:w="1350"/>
      </w:tblGrid>
      <w:tr w14:paraId="792621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0" w:type="dxa"/>
            <w:tcBorders>
              <w:top w:val="single" w:color="auto" w:sz="4" w:space="0"/>
              <w:bottom w:val="nil"/>
              <w:right w:val="single" w:color="auto" w:sz="4" w:space="0"/>
            </w:tcBorders>
          </w:tcPr>
          <w:p w14:paraId="3101A68D">
            <w:pPr>
              <w:spacing w:after="0"/>
              <w:rPr>
                <w:rFonts w:ascii="Times New Roman" w:hAnsi="Times New Roman" w:cs="Times New Roman"/>
                <w:b/>
                <w:bCs/>
                <w:color w:val="000000" w:themeColor="text1"/>
                <w14:textFill>
                  <w14:solidFill>
                    <w14:schemeClr w14:val="tx1"/>
                  </w14:solidFill>
                </w14:textFill>
              </w:rPr>
            </w:pPr>
          </w:p>
        </w:tc>
        <w:tc>
          <w:tcPr>
            <w:tcW w:w="1685" w:type="dxa"/>
            <w:tcBorders>
              <w:top w:val="single" w:color="auto" w:sz="4" w:space="0"/>
              <w:left w:val="single" w:color="auto" w:sz="4" w:space="0"/>
              <w:bottom w:val="nil"/>
              <w:right w:val="single" w:color="auto" w:sz="4" w:space="0"/>
            </w:tcBorders>
          </w:tcPr>
          <w:p w14:paraId="275F42B2">
            <w:pPr>
              <w:spacing w:after="0"/>
              <w:rPr>
                <w:rFonts w:ascii="Times New Roman" w:hAnsi="Times New Roman" w:cs="Times New Roman"/>
                <w:b/>
                <w:bCs/>
                <w:color w:val="000000" w:themeColor="text1"/>
                <w14:textFill>
                  <w14:solidFill>
                    <w14:schemeClr w14:val="tx1"/>
                  </w14:solidFill>
                </w14:textFill>
              </w:rPr>
            </w:pPr>
          </w:p>
        </w:tc>
        <w:tc>
          <w:tcPr>
            <w:tcW w:w="1375" w:type="dxa"/>
            <w:tcBorders>
              <w:top w:val="single" w:color="auto" w:sz="4" w:space="0"/>
              <w:left w:val="single" w:color="auto" w:sz="4" w:space="0"/>
              <w:bottom w:val="single" w:color="auto" w:sz="4" w:space="0"/>
              <w:right w:val="nil"/>
            </w:tcBorders>
          </w:tcPr>
          <w:p w14:paraId="0C8E677B">
            <w:pPr>
              <w:spacing w:after="0"/>
              <w:rPr>
                <w:rFonts w:ascii="Times New Roman" w:hAnsi="Times New Roman" w:eastAsia="Times New Roman" w:cs="Times New Roman"/>
                <w:b/>
                <w:bCs/>
                <w:iCs/>
              </w:rPr>
            </w:pPr>
          </w:p>
        </w:tc>
        <w:tc>
          <w:tcPr>
            <w:tcW w:w="1350" w:type="dxa"/>
            <w:tcBorders>
              <w:top w:val="single" w:color="auto" w:sz="4" w:space="0"/>
              <w:left w:val="nil"/>
              <w:bottom w:val="single" w:color="auto" w:sz="4" w:space="0"/>
              <w:right w:val="nil"/>
            </w:tcBorders>
          </w:tcPr>
          <w:p w14:paraId="4E2491BB">
            <w:pPr>
              <w:spacing w:after="0"/>
              <w:jc w:val="center"/>
              <w:rPr>
                <w:rFonts w:ascii="Times New Roman" w:hAnsi="Times New Roman" w:eastAsia="Times New Roman" w:cs="Times New Roman"/>
                <w:b/>
                <w:bCs/>
                <w:iCs/>
              </w:rPr>
            </w:pPr>
            <w:r>
              <w:rPr>
                <w:rFonts w:ascii="Times New Roman" w:hAnsi="Times New Roman" w:eastAsia="Times New Roman" w:cs="Times New Roman"/>
                <w:b/>
                <w:bCs/>
                <w:iCs/>
              </w:rPr>
              <w:t xml:space="preserve">zone      of </w:t>
            </w:r>
          </w:p>
        </w:tc>
        <w:tc>
          <w:tcPr>
            <w:tcW w:w="2340" w:type="dxa"/>
            <w:tcBorders>
              <w:top w:val="single" w:color="auto" w:sz="4" w:space="0"/>
              <w:left w:val="nil"/>
              <w:bottom w:val="single" w:color="auto" w:sz="4" w:space="0"/>
              <w:right w:val="nil"/>
            </w:tcBorders>
          </w:tcPr>
          <w:p w14:paraId="6BF787AD">
            <w:pPr>
              <w:spacing w:after="0"/>
              <w:rPr>
                <w:rFonts w:ascii="Times New Roman" w:hAnsi="Times New Roman" w:eastAsia="Times New Roman" w:cs="Times New Roman"/>
                <w:b/>
                <w:bCs/>
                <w:iCs/>
              </w:rPr>
            </w:pPr>
            <w:r>
              <w:rPr>
                <w:rFonts w:ascii="Times New Roman" w:hAnsi="Times New Roman" w:eastAsia="Times New Roman" w:cs="Times New Roman"/>
                <w:b/>
                <w:bCs/>
                <w:iCs/>
              </w:rPr>
              <w:t>Inhibition (mm)</w:t>
            </w:r>
          </w:p>
        </w:tc>
        <w:tc>
          <w:tcPr>
            <w:tcW w:w="1350" w:type="dxa"/>
            <w:tcBorders>
              <w:top w:val="single" w:color="auto" w:sz="4" w:space="0"/>
              <w:left w:val="nil"/>
              <w:bottom w:val="single" w:color="auto" w:sz="4" w:space="0"/>
            </w:tcBorders>
          </w:tcPr>
          <w:p w14:paraId="121CE266">
            <w:pPr>
              <w:spacing w:after="0"/>
              <w:rPr>
                <w:rFonts w:ascii="Times New Roman" w:hAnsi="Times New Roman" w:eastAsia="Times New Roman" w:cs="Times New Roman"/>
                <w:b/>
                <w:bCs/>
                <w:i/>
                <w:iCs/>
              </w:rPr>
            </w:pPr>
          </w:p>
        </w:tc>
      </w:tr>
      <w:tr w14:paraId="0FAD4C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0" w:type="dxa"/>
            <w:tcBorders>
              <w:top w:val="nil"/>
              <w:bottom w:val="single" w:color="auto" w:sz="4" w:space="0"/>
              <w:right w:val="single" w:color="auto" w:sz="4" w:space="0"/>
            </w:tcBorders>
          </w:tcPr>
          <w:p w14:paraId="2C218BC6">
            <w:pPr>
              <w:spacing w:after="0"/>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Plant Extract</w:t>
            </w:r>
          </w:p>
        </w:tc>
        <w:tc>
          <w:tcPr>
            <w:tcW w:w="1685" w:type="dxa"/>
            <w:tcBorders>
              <w:top w:val="nil"/>
              <w:left w:val="single" w:color="auto" w:sz="4" w:space="0"/>
              <w:bottom w:val="single" w:color="auto" w:sz="4" w:space="0"/>
              <w:right w:val="single" w:color="auto" w:sz="4" w:space="0"/>
            </w:tcBorders>
          </w:tcPr>
          <w:p w14:paraId="1DFBE3CD">
            <w:pPr>
              <w:spacing w:after="0"/>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Extract Conc. (mg/ml)</w:t>
            </w:r>
          </w:p>
        </w:tc>
        <w:tc>
          <w:tcPr>
            <w:tcW w:w="1375" w:type="dxa"/>
            <w:tcBorders>
              <w:top w:val="single" w:color="auto" w:sz="4" w:space="0"/>
              <w:left w:val="single" w:color="auto" w:sz="4" w:space="0"/>
              <w:bottom w:val="single" w:color="auto" w:sz="4" w:space="0"/>
              <w:right w:val="single" w:color="auto" w:sz="4" w:space="0"/>
            </w:tcBorders>
          </w:tcPr>
          <w:p w14:paraId="635F0424">
            <w:pPr>
              <w:spacing w:after="0"/>
              <w:rPr>
                <w:rFonts w:ascii="Times New Roman" w:hAnsi="Times New Roman" w:cs="Times New Roman"/>
                <w:b/>
                <w:bCs/>
                <w:i/>
                <w:iCs/>
                <w:color w:val="000000" w:themeColor="text1"/>
                <w14:textFill>
                  <w14:solidFill>
                    <w14:schemeClr w14:val="tx1"/>
                  </w14:solidFill>
                </w14:textFill>
              </w:rPr>
            </w:pPr>
            <w:r>
              <w:rPr>
                <w:rFonts w:ascii="Times New Roman" w:hAnsi="Times New Roman" w:eastAsia="Times New Roman" w:cs="Times New Roman"/>
                <w:b/>
                <w:bCs/>
                <w:i/>
                <w:iCs/>
              </w:rPr>
              <w:t xml:space="preserve">Klebsiella </w:t>
            </w:r>
          </w:p>
        </w:tc>
        <w:tc>
          <w:tcPr>
            <w:tcW w:w="1350" w:type="dxa"/>
            <w:tcBorders>
              <w:top w:val="single" w:color="auto" w:sz="4" w:space="0"/>
              <w:left w:val="single" w:color="auto" w:sz="4" w:space="0"/>
              <w:bottom w:val="single" w:color="auto" w:sz="4" w:space="0"/>
              <w:right w:val="single" w:color="auto" w:sz="4" w:space="0"/>
            </w:tcBorders>
          </w:tcPr>
          <w:p w14:paraId="4F2EBCA8">
            <w:pPr>
              <w:spacing w:after="0"/>
              <w:rPr>
                <w:rFonts w:ascii="Times New Roman" w:hAnsi="Times New Roman" w:cs="Times New Roman"/>
                <w:b/>
                <w:bCs/>
                <w:i/>
                <w:iCs/>
                <w:color w:val="000000" w:themeColor="text1"/>
                <w14:textFill>
                  <w14:solidFill>
                    <w14:schemeClr w14:val="tx1"/>
                  </w14:solidFill>
                </w14:textFill>
              </w:rPr>
            </w:pPr>
            <w:r>
              <w:rPr>
                <w:rFonts w:ascii="Times New Roman" w:hAnsi="Times New Roman" w:eastAsia="Times New Roman" w:cs="Times New Roman"/>
                <w:b/>
                <w:bCs/>
                <w:i/>
                <w:iCs/>
              </w:rPr>
              <w:t xml:space="preserve">Bacillus </w:t>
            </w:r>
          </w:p>
        </w:tc>
        <w:tc>
          <w:tcPr>
            <w:tcW w:w="2340" w:type="dxa"/>
            <w:tcBorders>
              <w:top w:val="single" w:color="auto" w:sz="4" w:space="0"/>
              <w:left w:val="single" w:color="auto" w:sz="4" w:space="0"/>
              <w:bottom w:val="single" w:color="auto" w:sz="4" w:space="0"/>
              <w:right w:val="single" w:color="auto" w:sz="4" w:space="0"/>
            </w:tcBorders>
          </w:tcPr>
          <w:p w14:paraId="4F08623B">
            <w:pPr>
              <w:spacing w:after="0"/>
              <w:rPr>
                <w:rFonts w:ascii="Times New Roman" w:hAnsi="Times New Roman" w:cs="Times New Roman"/>
                <w:b/>
                <w:bCs/>
                <w:i/>
                <w:iCs/>
                <w:color w:val="000000" w:themeColor="text1"/>
                <w14:textFill>
                  <w14:solidFill>
                    <w14:schemeClr w14:val="tx1"/>
                  </w14:solidFill>
                </w14:textFill>
              </w:rPr>
            </w:pPr>
            <w:r>
              <w:rPr>
                <w:rFonts w:ascii="Times New Roman" w:hAnsi="Times New Roman" w:eastAsia="Times New Roman" w:cs="Times New Roman"/>
                <w:b/>
                <w:bCs/>
                <w:i/>
                <w:iCs/>
              </w:rPr>
              <w:t xml:space="preserve">Staphylococcus aureus </w:t>
            </w:r>
          </w:p>
        </w:tc>
        <w:tc>
          <w:tcPr>
            <w:tcW w:w="1350" w:type="dxa"/>
            <w:tcBorders>
              <w:top w:val="single" w:color="auto" w:sz="4" w:space="0"/>
              <w:left w:val="single" w:color="auto" w:sz="4" w:space="0"/>
              <w:bottom w:val="single" w:color="auto" w:sz="4" w:space="0"/>
            </w:tcBorders>
          </w:tcPr>
          <w:p w14:paraId="30B10385">
            <w:pPr>
              <w:spacing w:after="0"/>
              <w:rPr>
                <w:rFonts w:ascii="Times New Roman" w:hAnsi="Times New Roman" w:cs="Times New Roman"/>
                <w:b/>
                <w:bCs/>
                <w:i/>
                <w:iCs/>
                <w:color w:val="000000" w:themeColor="text1"/>
                <w14:textFill>
                  <w14:solidFill>
                    <w14:schemeClr w14:val="tx1"/>
                  </w14:solidFill>
                </w14:textFill>
              </w:rPr>
            </w:pPr>
            <w:r>
              <w:rPr>
                <w:rFonts w:ascii="Times New Roman" w:hAnsi="Times New Roman" w:eastAsia="Times New Roman" w:cs="Times New Roman"/>
                <w:b/>
                <w:bCs/>
                <w:i/>
                <w:iCs/>
              </w:rPr>
              <w:t xml:space="preserve">E. coli </w:t>
            </w:r>
          </w:p>
        </w:tc>
      </w:tr>
      <w:tr w14:paraId="293F4F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0" w:type="dxa"/>
            <w:tcBorders>
              <w:top w:val="single" w:color="auto" w:sz="4" w:space="0"/>
              <w:bottom w:val="nil"/>
              <w:right w:val="nil"/>
            </w:tcBorders>
          </w:tcPr>
          <w:p w14:paraId="06500C8E">
            <w:pPr>
              <w:spacing w:after="0" w:line="276" w:lineRule="auto"/>
              <w:rPr>
                <w:rFonts w:ascii="Times New Roman" w:hAnsi="Times New Roman" w:eastAsia="Times New Roman" w:cs="Times New Roman"/>
                <w:i/>
                <w:iCs/>
                <w:color w:val="000000" w:themeColor="text1"/>
                <w14:textFill>
                  <w14:solidFill>
                    <w14:schemeClr w14:val="tx1"/>
                  </w14:solidFill>
                </w14:textFill>
              </w:rPr>
            </w:pPr>
            <w:r>
              <w:rPr>
                <w:rFonts w:ascii="Times New Roman" w:hAnsi="Times New Roman" w:eastAsia="Times New Roman" w:cs="Times New Roman"/>
                <w:i/>
                <w:iCs/>
                <w:color w:val="000000" w:themeColor="text1"/>
                <w14:textFill>
                  <w14:solidFill>
                    <w14:schemeClr w14:val="tx1"/>
                  </w14:solidFill>
                </w14:textFill>
              </w:rPr>
              <w:t>Boscia angustifolia</w:t>
            </w:r>
          </w:p>
        </w:tc>
        <w:tc>
          <w:tcPr>
            <w:tcW w:w="1685" w:type="dxa"/>
            <w:tcBorders>
              <w:top w:val="single" w:color="auto" w:sz="4" w:space="0"/>
              <w:left w:val="nil"/>
              <w:bottom w:val="nil"/>
              <w:right w:val="nil"/>
            </w:tcBorders>
          </w:tcPr>
          <w:p w14:paraId="47FE4B86">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       40</w:t>
            </w:r>
          </w:p>
        </w:tc>
        <w:tc>
          <w:tcPr>
            <w:tcW w:w="1375" w:type="dxa"/>
            <w:tcBorders>
              <w:top w:val="single" w:color="auto" w:sz="4" w:space="0"/>
              <w:left w:val="nil"/>
              <w:bottom w:val="nil"/>
              <w:right w:val="nil"/>
            </w:tcBorders>
            <w:vAlign w:val="center"/>
          </w:tcPr>
          <w:p w14:paraId="01A42668">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12.7 ± 0.58*</w:t>
            </w:r>
          </w:p>
        </w:tc>
        <w:tc>
          <w:tcPr>
            <w:tcW w:w="1350" w:type="dxa"/>
            <w:tcBorders>
              <w:top w:val="single" w:color="auto" w:sz="4" w:space="0"/>
              <w:left w:val="nil"/>
              <w:bottom w:val="nil"/>
              <w:right w:val="nil"/>
            </w:tcBorders>
            <w:vAlign w:val="center"/>
          </w:tcPr>
          <w:p w14:paraId="11620547">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13.3 ± 0.58*</w:t>
            </w:r>
          </w:p>
        </w:tc>
        <w:tc>
          <w:tcPr>
            <w:tcW w:w="2340" w:type="dxa"/>
            <w:tcBorders>
              <w:top w:val="single" w:color="auto" w:sz="4" w:space="0"/>
              <w:left w:val="nil"/>
              <w:bottom w:val="nil"/>
              <w:right w:val="nil"/>
            </w:tcBorders>
            <w:vAlign w:val="center"/>
          </w:tcPr>
          <w:p w14:paraId="78712FAF">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 xml:space="preserve">                6.00±0.00</w:t>
            </w:r>
          </w:p>
        </w:tc>
        <w:tc>
          <w:tcPr>
            <w:tcW w:w="1350" w:type="dxa"/>
            <w:tcBorders>
              <w:top w:val="single" w:color="auto" w:sz="4" w:space="0"/>
              <w:left w:val="nil"/>
            </w:tcBorders>
            <w:vAlign w:val="center"/>
          </w:tcPr>
          <w:p w14:paraId="7AD253B8">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 xml:space="preserve">      6.00±0.00</w:t>
            </w:r>
          </w:p>
        </w:tc>
      </w:tr>
      <w:tr w14:paraId="16C041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0" w:type="dxa"/>
            <w:tcBorders>
              <w:top w:val="nil"/>
              <w:bottom w:val="nil"/>
              <w:right w:val="nil"/>
            </w:tcBorders>
          </w:tcPr>
          <w:p w14:paraId="7CD74B7C">
            <w:pPr>
              <w:spacing w:after="0" w:line="276" w:lineRule="auto"/>
              <w:rPr>
                <w:rFonts w:ascii="Times New Roman" w:hAnsi="Times New Roman" w:cs="Times New Roman"/>
                <w:color w:val="000000" w:themeColor="text1"/>
                <w:sz w:val="24"/>
                <w:szCs w:val="24"/>
                <w14:textFill>
                  <w14:solidFill>
                    <w14:schemeClr w14:val="tx1"/>
                  </w14:solidFill>
                </w14:textFill>
              </w:rPr>
            </w:pPr>
          </w:p>
        </w:tc>
        <w:tc>
          <w:tcPr>
            <w:tcW w:w="1685" w:type="dxa"/>
            <w:tcBorders>
              <w:top w:val="nil"/>
              <w:left w:val="nil"/>
              <w:bottom w:val="nil"/>
              <w:right w:val="nil"/>
            </w:tcBorders>
          </w:tcPr>
          <w:p w14:paraId="6A77BF0B">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       60</w:t>
            </w:r>
          </w:p>
        </w:tc>
        <w:tc>
          <w:tcPr>
            <w:tcW w:w="1375" w:type="dxa"/>
            <w:tcBorders>
              <w:top w:val="nil"/>
              <w:left w:val="nil"/>
              <w:bottom w:val="nil"/>
              <w:right w:val="nil"/>
            </w:tcBorders>
            <w:vAlign w:val="center"/>
          </w:tcPr>
          <w:p w14:paraId="0EE8F186">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13.7 ± 0.58*</w:t>
            </w:r>
          </w:p>
        </w:tc>
        <w:tc>
          <w:tcPr>
            <w:tcW w:w="1350" w:type="dxa"/>
            <w:tcBorders>
              <w:top w:val="nil"/>
              <w:left w:val="nil"/>
              <w:bottom w:val="nil"/>
              <w:right w:val="nil"/>
            </w:tcBorders>
            <w:vAlign w:val="center"/>
          </w:tcPr>
          <w:p w14:paraId="19866412">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16.3 ± 0.58*</w:t>
            </w:r>
          </w:p>
        </w:tc>
        <w:tc>
          <w:tcPr>
            <w:tcW w:w="2340" w:type="dxa"/>
            <w:tcBorders>
              <w:top w:val="nil"/>
              <w:left w:val="nil"/>
              <w:bottom w:val="nil"/>
              <w:right w:val="nil"/>
            </w:tcBorders>
            <w:vAlign w:val="center"/>
          </w:tcPr>
          <w:p w14:paraId="53B9B777">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 xml:space="preserve">                6.00±0.00</w:t>
            </w:r>
          </w:p>
        </w:tc>
        <w:tc>
          <w:tcPr>
            <w:tcW w:w="1350" w:type="dxa"/>
            <w:tcBorders>
              <w:left w:val="nil"/>
            </w:tcBorders>
            <w:vAlign w:val="center"/>
          </w:tcPr>
          <w:p w14:paraId="1EAF96A6">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 xml:space="preserve">      6.00±0.00</w:t>
            </w:r>
          </w:p>
        </w:tc>
      </w:tr>
      <w:tr w14:paraId="367EB4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0" w:type="dxa"/>
            <w:tcBorders>
              <w:top w:val="nil"/>
              <w:bottom w:val="nil"/>
              <w:right w:val="nil"/>
            </w:tcBorders>
          </w:tcPr>
          <w:p w14:paraId="689E7DBB">
            <w:pPr>
              <w:spacing w:after="0" w:line="276" w:lineRule="auto"/>
              <w:rPr>
                <w:rFonts w:ascii="Times New Roman" w:hAnsi="Times New Roman" w:cs="Times New Roman"/>
                <w:color w:val="000000" w:themeColor="text1"/>
                <w:sz w:val="24"/>
                <w:szCs w:val="24"/>
                <w14:textFill>
                  <w14:solidFill>
                    <w14:schemeClr w14:val="tx1"/>
                  </w14:solidFill>
                </w14:textFill>
              </w:rPr>
            </w:pPr>
          </w:p>
        </w:tc>
        <w:tc>
          <w:tcPr>
            <w:tcW w:w="1685" w:type="dxa"/>
            <w:tcBorders>
              <w:top w:val="nil"/>
              <w:left w:val="nil"/>
              <w:bottom w:val="nil"/>
              <w:right w:val="nil"/>
            </w:tcBorders>
          </w:tcPr>
          <w:p w14:paraId="3A4BC494">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       80</w:t>
            </w:r>
          </w:p>
          <w:p w14:paraId="234A56C9">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       </w:t>
            </w:r>
          </w:p>
        </w:tc>
        <w:tc>
          <w:tcPr>
            <w:tcW w:w="1375" w:type="dxa"/>
            <w:tcBorders>
              <w:top w:val="nil"/>
              <w:left w:val="nil"/>
              <w:bottom w:val="nil"/>
              <w:right w:val="nil"/>
            </w:tcBorders>
            <w:vAlign w:val="center"/>
          </w:tcPr>
          <w:p w14:paraId="75F02D6A">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18.0 ± 1.00*</w:t>
            </w:r>
          </w:p>
        </w:tc>
        <w:tc>
          <w:tcPr>
            <w:tcW w:w="1350" w:type="dxa"/>
            <w:tcBorders>
              <w:top w:val="nil"/>
              <w:left w:val="nil"/>
              <w:bottom w:val="nil"/>
              <w:right w:val="nil"/>
            </w:tcBorders>
            <w:vAlign w:val="center"/>
          </w:tcPr>
          <w:p w14:paraId="1A0B37E4">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18.0 ± 1.00*</w:t>
            </w:r>
          </w:p>
        </w:tc>
        <w:tc>
          <w:tcPr>
            <w:tcW w:w="2340" w:type="dxa"/>
            <w:tcBorders>
              <w:top w:val="nil"/>
              <w:left w:val="nil"/>
              <w:bottom w:val="nil"/>
              <w:right w:val="nil"/>
            </w:tcBorders>
            <w:vAlign w:val="center"/>
          </w:tcPr>
          <w:p w14:paraId="3B6BED63">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 xml:space="preserve">                6.00±0.00</w:t>
            </w:r>
          </w:p>
        </w:tc>
        <w:tc>
          <w:tcPr>
            <w:tcW w:w="1350" w:type="dxa"/>
            <w:tcBorders>
              <w:left w:val="nil"/>
            </w:tcBorders>
            <w:vAlign w:val="center"/>
          </w:tcPr>
          <w:p w14:paraId="304C2B2C">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 xml:space="preserve">      6.00±0.00</w:t>
            </w:r>
          </w:p>
        </w:tc>
      </w:tr>
      <w:tr w14:paraId="298784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0" w:type="dxa"/>
            <w:tcBorders>
              <w:top w:val="nil"/>
              <w:bottom w:val="nil"/>
              <w:right w:val="nil"/>
            </w:tcBorders>
          </w:tcPr>
          <w:p w14:paraId="35D99BD1">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Positive Control (Ciprofloxacin)</w:t>
            </w:r>
          </w:p>
        </w:tc>
        <w:tc>
          <w:tcPr>
            <w:tcW w:w="1685" w:type="dxa"/>
            <w:tcBorders>
              <w:top w:val="nil"/>
              <w:left w:val="nil"/>
              <w:bottom w:val="nil"/>
              <w:right w:val="nil"/>
            </w:tcBorders>
          </w:tcPr>
          <w:p w14:paraId="783B6076">
            <w:pPr>
              <w:spacing w:after="0" w:line="276" w:lineRule="auto"/>
              <w:rPr>
                <w:rFonts w:ascii="Times New Roman" w:hAnsi="Times New Roman" w:cs="Times New Roman"/>
                <w:color w:val="000000" w:themeColor="text1"/>
                <w14:textFill>
                  <w14:solidFill>
                    <w14:schemeClr w14:val="tx1"/>
                  </w14:solidFill>
                </w14:textFill>
              </w:rPr>
            </w:pPr>
          </w:p>
        </w:tc>
        <w:tc>
          <w:tcPr>
            <w:tcW w:w="1375" w:type="dxa"/>
            <w:tcBorders>
              <w:top w:val="nil"/>
              <w:left w:val="nil"/>
              <w:bottom w:val="nil"/>
              <w:right w:val="nil"/>
            </w:tcBorders>
            <w:vAlign w:val="center"/>
          </w:tcPr>
          <w:p w14:paraId="18F09045">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42.7 ± 1.53*</w:t>
            </w:r>
          </w:p>
        </w:tc>
        <w:tc>
          <w:tcPr>
            <w:tcW w:w="1350" w:type="dxa"/>
            <w:tcBorders>
              <w:top w:val="nil"/>
              <w:left w:val="nil"/>
              <w:bottom w:val="nil"/>
              <w:right w:val="nil"/>
            </w:tcBorders>
            <w:vAlign w:val="center"/>
          </w:tcPr>
          <w:p w14:paraId="5FDB7537">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43.7 ± 1.15*</w:t>
            </w:r>
          </w:p>
        </w:tc>
        <w:tc>
          <w:tcPr>
            <w:tcW w:w="2340" w:type="dxa"/>
            <w:tcBorders>
              <w:top w:val="nil"/>
              <w:left w:val="nil"/>
              <w:bottom w:val="nil"/>
              <w:right w:val="nil"/>
            </w:tcBorders>
            <w:vAlign w:val="center"/>
          </w:tcPr>
          <w:p w14:paraId="012CAA22">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 xml:space="preserve">           51.7 ± 1.53*</w:t>
            </w:r>
          </w:p>
        </w:tc>
        <w:tc>
          <w:tcPr>
            <w:tcW w:w="1350" w:type="dxa"/>
            <w:tcBorders>
              <w:left w:val="nil"/>
            </w:tcBorders>
            <w:vAlign w:val="center"/>
          </w:tcPr>
          <w:p w14:paraId="0FEE4792">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28.3 ± 0.58*</w:t>
            </w:r>
          </w:p>
        </w:tc>
      </w:tr>
      <w:tr w14:paraId="138AAC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0" w:type="dxa"/>
            <w:tcBorders>
              <w:top w:val="nil"/>
              <w:bottom w:val="single" w:color="auto" w:sz="4" w:space="0"/>
              <w:right w:val="nil"/>
            </w:tcBorders>
          </w:tcPr>
          <w:p w14:paraId="4EE32080">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Negative Control (DMSO/Distilled water)</w:t>
            </w:r>
          </w:p>
        </w:tc>
        <w:tc>
          <w:tcPr>
            <w:tcW w:w="1685" w:type="dxa"/>
            <w:tcBorders>
              <w:top w:val="nil"/>
              <w:left w:val="nil"/>
              <w:bottom w:val="single" w:color="auto" w:sz="4" w:space="0"/>
              <w:right w:val="nil"/>
            </w:tcBorders>
          </w:tcPr>
          <w:p w14:paraId="7A62B20A">
            <w:pPr>
              <w:spacing w:after="0" w:line="276" w:lineRule="auto"/>
              <w:rPr>
                <w:rFonts w:ascii="Times New Roman" w:hAnsi="Times New Roman" w:cs="Times New Roman"/>
                <w:color w:val="000000" w:themeColor="text1"/>
                <w14:textFill>
                  <w14:solidFill>
                    <w14:schemeClr w14:val="tx1"/>
                  </w14:solidFill>
                </w14:textFill>
              </w:rPr>
            </w:pPr>
          </w:p>
        </w:tc>
        <w:tc>
          <w:tcPr>
            <w:tcW w:w="1375" w:type="dxa"/>
            <w:tcBorders>
              <w:top w:val="nil"/>
              <w:left w:val="nil"/>
              <w:bottom w:val="single" w:color="auto" w:sz="4" w:space="0"/>
              <w:right w:val="nil"/>
            </w:tcBorders>
            <w:vAlign w:val="center"/>
          </w:tcPr>
          <w:p w14:paraId="37552291">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 xml:space="preserve">      6.00±0.00</w:t>
            </w:r>
          </w:p>
        </w:tc>
        <w:tc>
          <w:tcPr>
            <w:tcW w:w="1350" w:type="dxa"/>
            <w:tcBorders>
              <w:top w:val="nil"/>
              <w:left w:val="nil"/>
              <w:bottom w:val="single" w:color="auto" w:sz="4" w:space="0"/>
              <w:right w:val="nil"/>
            </w:tcBorders>
            <w:vAlign w:val="center"/>
          </w:tcPr>
          <w:p w14:paraId="581BF51B">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 xml:space="preserve">     6.00±0.00</w:t>
            </w:r>
          </w:p>
        </w:tc>
        <w:tc>
          <w:tcPr>
            <w:tcW w:w="2340" w:type="dxa"/>
            <w:tcBorders>
              <w:top w:val="nil"/>
              <w:left w:val="nil"/>
              <w:bottom w:val="single" w:color="auto" w:sz="4" w:space="0"/>
              <w:right w:val="nil"/>
            </w:tcBorders>
            <w:vAlign w:val="center"/>
          </w:tcPr>
          <w:p w14:paraId="4397043F">
            <w:pPr>
              <w:spacing w:after="0" w:line="276" w:lineRule="auto"/>
              <w:rPr>
                <w:rFonts w:ascii="Times New Roman" w:hAnsi="Times New Roman" w:eastAsia="Times New Roman" w:cs="Times New Roman"/>
              </w:rPr>
            </w:pPr>
            <w:r>
              <w:rPr>
                <w:rFonts w:ascii="Times New Roman" w:hAnsi="Times New Roman" w:eastAsia="Times New Roman" w:cs="Times New Roman"/>
              </w:rPr>
              <w:t xml:space="preserve">              6.00±0.00</w:t>
            </w:r>
          </w:p>
        </w:tc>
        <w:tc>
          <w:tcPr>
            <w:tcW w:w="1350" w:type="dxa"/>
            <w:tcBorders>
              <w:left w:val="nil"/>
              <w:bottom w:val="single" w:color="auto" w:sz="4" w:space="0"/>
            </w:tcBorders>
            <w:vAlign w:val="center"/>
          </w:tcPr>
          <w:p w14:paraId="7E349C1B">
            <w:pPr>
              <w:spacing w:after="0" w:line="276" w:lineRule="auto"/>
              <w:rPr>
                <w:rFonts w:ascii="Times New Roman" w:hAnsi="Times New Roman" w:cs="Times New Roman"/>
                <w:color w:val="000000" w:themeColor="text1"/>
                <w14:textFill>
                  <w14:solidFill>
                    <w14:schemeClr w14:val="tx1"/>
                  </w14:solidFill>
                </w14:textFill>
              </w:rPr>
            </w:pPr>
            <w:r>
              <w:rPr>
                <w:rFonts w:ascii="Times New Roman" w:hAnsi="Times New Roman" w:eastAsia="Times New Roman" w:cs="Times New Roman"/>
              </w:rPr>
              <w:t xml:space="preserve">       6.00±0.00</w:t>
            </w:r>
          </w:p>
        </w:tc>
      </w:tr>
    </w:tbl>
    <w:p w14:paraId="4CBFF22A">
      <w:pPr>
        <w:rPr>
          <w:rFonts w:ascii="Times New Roman" w:hAnsi="Times New Roman" w:cs="Times New Roman"/>
          <w:bCs/>
          <w:color w:val="000000" w:themeColor="text1"/>
          <w:sz w:val="20"/>
          <w:szCs w:val="20"/>
          <w14:textFill>
            <w14:solidFill>
              <w14:schemeClr w14:val="tx1"/>
            </w14:solidFill>
          </w14:textFill>
        </w:rPr>
      </w:pPr>
      <w:r>
        <w:rPr>
          <w:rFonts w:ascii="Times New Roman" w:hAnsi="Times New Roman" w:cs="Times New Roman"/>
          <w:b/>
          <w:bCs/>
          <w:color w:val="000000" w:themeColor="text1"/>
          <w:sz w:val="20"/>
          <w:szCs w:val="20"/>
          <w14:textFill>
            <w14:solidFill>
              <w14:schemeClr w14:val="tx1"/>
            </w14:solidFill>
          </w14:textFill>
        </w:rPr>
        <w:t xml:space="preserve">*= </w:t>
      </w:r>
      <w:r>
        <w:rPr>
          <w:rFonts w:ascii="Times New Roman" w:hAnsi="Times New Roman" w:cs="Times New Roman"/>
          <w:bCs/>
          <w:color w:val="000000" w:themeColor="text1"/>
          <w:sz w:val="20"/>
          <w:szCs w:val="20"/>
          <w14:textFill>
            <w14:solidFill>
              <w14:schemeClr w14:val="tx1"/>
            </w14:solidFill>
          </w14:textFill>
        </w:rPr>
        <w:t>Significantly different from the negative control (p&lt;0.05) by using analysis of variance, Spss software, version 20.</w:t>
      </w:r>
    </w:p>
    <w:p w14:paraId="25CB0ED2">
      <w:pPr>
        <w:tabs>
          <w:tab w:val="left" w:pos="6840"/>
        </w:tabs>
        <w:rPr>
          <w:rFonts w:ascii="Times New Roman" w:hAnsi="Times New Roman" w:cs="Times New Roman"/>
          <w:bCs/>
          <w:color w:val="000000" w:themeColor="text1"/>
          <w:sz w:val="20"/>
          <w:szCs w:val="20"/>
          <w14:textFill>
            <w14:solidFill>
              <w14:schemeClr w14:val="tx1"/>
            </w14:solidFill>
          </w14:textFill>
        </w:rPr>
      </w:pPr>
      <w:r>
        <w:rPr>
          <w:rFonts w:ascii="Times New Roman" w:hAnsi="Times New Roman" w:cs="Times New Roman"/>
          <w:bCs/>
          <w:color w:val="000000" w:themeColor="text1"/>
          <w:sz w:val="20"/>
          <w:szCs w:val="20"/>
          <w14:textFill>
            <w14:solidFill>
              <w14:schemeClr w14:val="tx1"/>
            </w14:solidFill>
          </w14:textFill>
        </w:rPr>
        <w:t>Values are mean ± standard deviation of (n=3)</w:t>
      </w:r>
    </w:p>
    <w:p w14:paraId="3577ECCD">
      <w:pPr>
        <w:tabs>
          <w:tab w:val="left" w:pos="6840"/>
        </w:tabs>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0"/>
          <w:szCs w:val="20"/>
          <w14:textFill>
            <w14:solidFill>
              <w14:schemeClr w14:val="tx1"/>
            </w14:solidFill>
          </w14:textFill>
        </w:rPr>
        <w:t>Values greater than 6mm indicated some activity.</w:t>
      </w:r>
      <w:r>
        <w:rPr>
          <w:rFonts w:ascii="Times New Roman" w:hAnsi="Times New Roman" w:cs="Times New Roman"/>
          <w:bCs/>
          <w:color w:val="000000" w:themeColor="text1"/>
          <w:sz w:val="24"/>
          <w:szCs w:val="24"/>
          <w14:textFill>
            <w14:solidFill>
              <w14:schemeClr w14:val="tx1"/>
            </w14:solidFill>
          </w14:textFill>
        </w:rPr>
        <w:tab/>
      </w:r>
    </w:p>
    <w:p w14:paraId="66A84874">
      <w:pPr>
        <w:spacing w:line="278" w:lineRule="auto"/>
        <w:rPr>
          <w:rFonts w:asciiTheme="majorBidi" w:hAnsiTheme="majorBidi" w:cstheme="majorBidi"/>
          <w:sz w:val="24"/>
          <w:szCs w:val="24"/>
        </w:rPr>
      </w:pPr>
      <w:r>
        <w:rPr>
          <w:rFonts w:asciiTheme="majorBidi" w:hAnsiTheme="majorBidi" w:cstheme="majorBidi"/>
          <w:sz w:val="24"/>
          <w:szCs w:val="24"/>
        </w:rPr>
        <w:br w:type="page"/>
      </w:r>
    </w:p>
    <w:p w14:paraId="696AB2E2">
      <w:pPr>
        <w:tabs>
          <w:tab w:val="left" w:pos="6840"/>
        </w:tabs>
        <w:spacing w:before="240" w:after="0" w:line="480" w:lineRule="auto"/>
        <w:jc w:val="both"/>
        <w:rPr>
          <w:rFonts w:asciiTheme="majorBidi" w:hAnsiTheme="majorBidi" w:cstheme="majorBidi"/>
          <w:bCs/>
          <w:color w:val="000000" w:themeColor="text1"/>
          <w:sz w:val="24"/>
          <w:szCs w:val="24"/>
          <w14:textFill>
            <w14:solidFill>
              <w14:schemeClr w14:val="tx1"/>
            </w14:solidFill>
          </w14:textFill>
        </w:rPr>
      </w:pPr>
      <w:r>
        <w:rPr>
          <w:rFonts w:asciiTheme="majorBidi" w:hAnsiTheme="majorBidi" w:cstheme="majorBidi"/>
          <w:sz w:val="24"/>
          <w:szCs w:val="24"/>
        </w:rPr>
        <w:t xml:space="preserve">The antibacterial evaluation of </w:t>
      </w:r>
      <w:r>
        <w:rPr>
          <w:rStyle w:val="15"/>
          <w:rFonts w:asciiTheme="majorBidi" w:hAnsiTheme="majorBidi" w:cstheme="majorBidi"/>
          <w:sz w:val="24"/>
          <w:szCs w:val="24"/>
        </w:rPr>
        <w:t>Boscia angustifolia</w:t>
      </w:r>
      <w:r>
        <w:rPr>
          <w:rFonts w:asciiTheme="majorBidi" w:hAnsiTheme="majorBidi" w:cstheme="majorBidi"/>
          <w:sz w:val="24"/>
          <w:szCs w:val="24"/>
        </w:rPr>
        <w:t xml:space="preserve"> extract showed concentration-dependent inhibitory activity against </w:t>
      </w:r>
      <w:r>
        <w:rPr>
          <w:rStyle w:val="20"/>
          <w:rFonts w:asciiTheme="majorBidi" w:hAnsiTheme="majorBidi" w:cstheme="majorBidi"/>
          <w:b w:val="0"/>
          <w:bCs w:val="0"/>
          <w:sz w:val="24"/>
          <w:szCs w:val="24"/>
        </w:rPr>
        <w:t>Klebsiella</w:t>
      </w:r>
      <w:r>
        <w:rPr>
          <w:rFonts w:asciiTheme="majorBidi" w:hAnsiTheme="majorBidi" w:cstheme="majorBidi"/>
          <w:b/>
          <w:bCs/>
          <w:sz w:val="24"/>
          <w:szCs w:val="24"/>
        </w:rPr>
        <w:t xml:space="preserve"> </w:t>
      </w:r>
      <w:r>
        <w:rPr>
          <w:rFonts w:asciiTheme="majorBidi" w:hAnsiTheme="majorBidi" w:cstheme="majorBidi"/>
          <w:sz w:val="24"/>
          <w:szCs w:val="24"/>
        </w:rPr>
        <w:t>and</w:t>
      </w:r>
      <w:r>
        <w:rPr>
          <w:rFonts w:asciiTheme="majorBidi" w:hAnsiTheme="majorBidi" w:cstheme="majorBidi"/>
          <w:b/>
          <w:bCs/>
          <w:sz w:val="24"/>
          <w:szCs w:val="24"/>
        </w:rPr>
        <w:t xml:space="preserve"> </w:t>
      </w:r>
      <w:r>
        <w:rPr>
          <w:rStyle w:val="20"/>
          <w:rFonts w:asciiTheme="majorBidi" w:hAnsiTheme="majorBidi" w:cstheme="majorBidi"/>
          <w:b w:val="0"/>
          <w:bCs w:val="0"/>
          <w:sz w:val="24"/>
          <w:szCs w:val="24"/>
        </w:rPr>
        <w:t>Bacillus</w:t>
      </w:r>
      <w:r>
        <w:rPr>
          <w:rFonts w:asciiTheme="majorBidi" w:hAnsiTheme="majorBidi" w:cstheme="majorBidi"/>
          <w:sz w:val="24"/>
          <w:szCs w:val="24"/>
        </w:rPr>
        <w:t xml:space="preserve"> species, with mean inhibition zones ranging from </w:t>
      </w:r>
      <w:r>
        <w:rPr>
          <w:rStyle w:val="20"/>
          <w:rFonts w:asciiTheme="majorBidi" w:hAnsiTheme="majorBidi" w:cstheme="majorBidi"/>
          <w:b w:val="0"/>
          <w:bCs w:val="0"/>
          <w:sz w:val="24"/>
          <w:szCs w:val="24"/>
        </w:rPr>
        <w:t>12.7 ± 0.58 mm to 18.0 ± 1.00 mm</w:t>
      </w:r>
      <w:r>
        <w:rPr>
          <w:rFonts w:asciiTheme="majorBidi" w:hAnsiTheme="majorBidi" w:cstheme="majorBidi"/>
          <w:b/>
          <w:bCs/>
          <w:sz w:val="24"/>
          <w:szCs w:val="24"/>
        </w:rPr>
        <w:t>.</w:t>
      </w:r>
      <w:r>
        <w:rPr>
          <w:rFonts w:asciiTheme="majorBidi" w:hAnsiTheme="majorBidi" w:cstheme="majorBidi"/>
          <w:sz w:val="24"/>
          <w:szCs w:val="24"/>
        </w:rPr>
        <w:t xml:space="preserve"> No inhibition was observed against </w:t>
      </w:r>
      <w:r>
        <w:rPr>
          <w:rStyle w:val="20"/>
          <w:rFonts w:asciiTheme="majorBidi" w:hAnsiTheme="majorBidi" w:cstheme="majorBidi"/>
          <w:b w:val="0"/>
          <w:bCs w:val="0"/>
          <w:i/>
          <w:iCs/>
          <w:sz w:val="24"/>
          <w:szCs w:val="24"/>
        </w:rPr>
        <w:t>Staphylococcus aureus</w:t>
      </w:r>
      <w:r>
        <w:rPr>
          <w:rFonts w:asciiTheme="majorBidi" w:hAnsiTheme="majorBidi" w:cstheme="majorBidi"/>
          <w:i/>
          <w:iCs/>
          <w:sz w:val="24"/>
          <w:szCs w:val="24"/>
        </w:rPr>
        <w:t xml:space="preserve"> </w:t>
      </w:r>
      <w:r>
        <w:rPr>
          <w:rFonts w:asciiTheme="majorBidi" w:hAnsiTheme="majorBidi" w:cstheme="majorBidi"/>
          <w:sz w:val="24"/>
          <w:szCs w:val="24"/>
        </w:rPr>
        <w:t xml:space="preserve">and </w:t>
      </w:r>
      <w:r>
        <w:rPr>
          <w:rStyle w:val="20"/>
          <w:rFonts w:asciiTheme="majorBidi" w:hAnsiTheme="majorBidi" w:cstheme="majorBidi"/>
          <w:b w:val="0"/>
          <w:bCs w:val="0"/>
          <w:i/>
          <w:iCs/>
          <w:sz w:val="24"/>
          <w:szCs w:val="24"/>
        </w:rPr>
        <w:t>Escherichia coli</w:t>
      </w:r>
      <w:r>
        <w:rPr>
          <w:rFonts w:asciiTheme="majorBidi" w:hAnsiTheme="majorBidi" w:cstheme="majorBidi"/>
          <w:i/>
          <w:iCs/>
          <w:sz w:val="24"/>
          <w:szCs w:val="24"/>
        </w:rPr>
        <w:t xml:space="preserve"> </w:t>
      </w:r>
      <w:r>
        <w:rPr>
          <w:rFonts w:asciiTheme="majorBidi" w:hAnsiTheme="majorBidi" w:cstheme="majorBidi"/>
          <w:sz w:val="24"/>
          <w:szCs w:val="24"/>
        </w:rPr>
        <w:t xml:space="preserve">across all extract concentrations. The positive control (ciprofloxacin) produced significantly higher inhibition zones (p ≤ 0.05), while the negative control showed no activity. These results indicate that </w:t>
      </w:r>
      <w:r>
        <w:rPr>
          <w:rStyle w:val="15"/>
          <w:rFonts w:asciiTheme="majorBidi" w:hAnsiTheme="majorBidi" w:cstheme="majorBidi"/>
          <w:sz w:val="24"/>
          <w:szCs w:val="24"/>
        </w:rPr>
        <w:t>Boscia angustifolia</w:t>
      </w:r>
      <w:r>
        <w:rPr>
          <w:rFonts w:asciiTheme="majorBidi" w:hAnsiTheme="majorBidi" w:cstheme="majorBidi"/>
          <w:sz w:val="24"/>
          <w:szCs w:val="24"/>
        </w:rPr>
        <w:t xml:space="preserve"> possesses selective antibacterial properties.</w:t>
      </w:r>
      <w:r>
        <w:rPr>
          <w:rFonts w:asciiTheme="majorBidi" w:hAnsiTheme="majorBidi" w:cstheme="majorBidi"/>
          <w:b/>
          <w:bCs/>
          <w:color w:val="000000" w:themeColor="text1"/>
          <w:sz w:val="24"/>
          <w:szCs w:val="24"/>
          <w14:textFill>
            <w14:solidFill>
              <w14:schemeClr w14:val="tx1"/>
            </w14:solidFill>
          </w14:textFill>
        </w:rPr>
        <w:br w:type="page"/>
      </w:r>
    </w:p>
    <w:p w14:paraId="3D5D77F8">
      <w:pPr>
        <w:pStyle w:val="2"/>
        <w:spacing w:before="0" w:after="0" w:line="480" w:lineRule="auto"/>
        <w:jc w:val="center"/>
        <w:rPr>
          <w:rStyle w:val="20"/>
          <w:b/>
          <w:bCs w:val="0"/>
        </w:rPr>
      </w:pPr>
      <w:bookmarkStart w:id="67" w:name="_Toc215132372"/>
      <w:bookmarkStart w:id="68" w:name="_Toc215016072"/>
      <w:r>
        <w:rPr>
          <w:rStyle w:val="20"/>
          <w:b/>
          <w:bCs w:val="0"/>
        </w:rPr>
        <w:t>CHAPTER FIVE</w:t>
      </w:r>
      <w:bookmarkEnd w:id="67"/>
      <w:bookmarkEnd w:id="68"/>
    </w:p>
    <w:p w14:paraId="45D04633">
      <w:pPr>
        <w:pStyle w:val="2"/>
        <w:spacing w:before="0" w:after="0" w:line="480" w:lineRule="auto"/>
        <w:jc w:val="center"/>
      </w:pPr>
      <w:bookmarkStart w:id="69" w:name="_Toc215132373"/>
      <w:bookmarkStart w:id="70" w:name="_Toc215016073"/>
      <w:r>
        <w:rPr>
          <w:rStyle w:val="20"/>
          <w:b/>
          <w:bCs w:val="0"/>
        </w:rPr>
        <w:t>DISCUSSION, CONCLUSION AND RECOMMENDATIONS</w:t>
      </w:r>
      <w:bookmarkEnd w:id="69"/>
      <w:bookmarkEnd w:id="70"/>
    </w:p>
    <w:p w14:paraId="6221FBF3">
      <w:pPr>
        <w:pStyle w:val="2"/>
        <w:spacing w:after="0" w:line="480" w:lineRule="auto"/>
      </w:pPr>
      <w:bookmarkStart w:id="71" w:name="_Toc215132374"/>
      <w:bookmarkStart w:id="72" w:name="_Toc215016074"/>
      <w:r>
        <w:rPr>
          <w:rStyle w:val="20"/>
          <w:b/>
          <w:bCs w:val="0"/>
        </w:rPr>
        <w:t>5.1</w:t>
      </w:r>
      <w:r>
        <w:rPr>
          <w:rStyle w:val="20"/>
          <w:b/>
          <w:bCs w:val="0"/>
        </w:rPr>
        <w:tab/>
      </w:r>
      <w:r>
        <w:rPr>
          <w:rStyle w:val="20"/>
          <w:b/>
          <w:bCs w:val="0"/>
        </w:rPr>
        <w:t>Discussion</w:t>
      </w:r>
      <w:bookmarkEnd w:id="71"/>
      <w:bookmarkEnd w:id="72"/>
    </w:p>
    <w:p w14:paraId="057D7C4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findings of this study reveal that the methanolic root extract of </w:t>
      </w:r>
      <w:r>
        <w:rPr>
          <w:rFonts w:ascii="Times New Roman" w:hAnsi="Times New Roman" w:eastAsia="Times New Roman" w:cs="Times New Roman"/>
          <w:i/>
          <w:iCs/>
          <w:sz w:val="24"/>
          <w:szCs w:val="24"/>
        </w:rPr>
        <w:t>Boscia angustifolia</w:t>
      </w:r>
      <w:r>
        <w:rPr>
          <w:rFonts w:ascii="Times New Roman" w:hAnsi="Times New Roman" w:eastAsia="Times New Roman" w:cs="Times New Roman"/>
          <w:sz w:val="24"/>
          <w:szCs w:val="24"/>
        </w:rPr>
        <w:t xml:space="preserve"> exhibits notable antibacterial activity against </w:t>
      </w:r>
      <w:r>
        <w:rPr>
          <w:rFonts w:ascii="Times New Roman" w:hAnsi="Times New Roman" w:eastAsia="Times New Roman" w:cs="Times New Roman"/>
          <w:i/>
          <w:iCs/>
          <w:sz w:val="24"/>
          <w:szCs w:val="24"/>
        </w:rPr>
        <w:t>Klebsiella</w:t>
      </w:r>
      <w:r>
        <w:rPr>
          <w:rFonts w:ascii="Times New Roman" w:hAnsi="Times New Roman" w:eastAsia="Times New Roman" w:cs="Times New Roman"/>
          <w:sz w:val="24"/>
          <w:szCs w:val="24"/>
        </w:rPr>
        <w:t xml:space="preserve"> and </w:t>
      </w:r>
      <w:r>
        <w:rPr>
          <w:rFonts w:ascii="Times New Roman" w:hAnsi="Times New Roman" w:eastAsia="Times New Roman" w:cs="Times New Roman"/>
          <w:i/>
          <w:iCs/>
          <w:sz w:val="24"/>
          <w:szCs w:val="24"/>
        </w:rPr>
        <w:t>Bacillus</w:t>
      </w:r>
      <w:r>
        <w:rPr>
          <w:rFonts w:ascii="Times New Roman" w:hAnsi="Times New Roman" w:eastAsia="Times New Roman" w:cs="Times New Roman"/>
          <w:sz w:val="24"/>
          <w:szCs w:val="24"/>
        </w:rPr>
        <w:t xml:space="preserve"> species, while showing no inhibitory effect on </w:t>
      </w:r>
      <w:r>
        <w:rPr>
          <w:rFonts w:ascii="Times New Roman" w:hAnsi="Times New Roman" w:eastAsia="Times New Roman" w:cs="Times New Roman"/>
          <w:i/>
          <w:iCs/>
          <w:sz w:val="24"/>
          <w:szCs w:val="24"/>
        </w:rPr>
        <w:t>Staphylococcus aureus</w:t>
      </w:r>
      <w:r>
        <w:rPr>
          <w:rFonts w:ascii="Times New Roman" w:hAnsi="Times New Roman" w:eastAsia="Times New Roman" w:cs="Times New Roman"/>
          <w:sz w:val="24"/>
          <w:szCs w:val="24"/>
        </w:rPr>
        <w:t xml:space="preserve"> and </w:t>
      </w:r>
      <w:r>
        <w:rPr>
          <w:rFonts w:ascii="Times New Roman" w:hAnsi="Times New Roman" w:eastAsia="Times New Roman" w:cs="Times New Roman"/>
          <w:i/>
          <w:iCs/>
          <w:sz w:val="24"/>
          <w:szCs w:val="24"/>
        </w:rPr>
        <w:t>Escherichia coli</w:t>
      </w:r>
      <w:r>
        <w:rPr>
          <w:rFonts w:ascii="Times New Roman" w:hAnsi="Times New Roman" w:eastAsia="Times New Roman" w:cs="Times New Roman"/>
          <w:sz w:val="24"/>
          <w:szCs w:val="24"/>
        </w:rPr>
        <w:t xml:space="preserve">. The selective pattern of inhibition observed in this research agrees with previous reports that plant extracts often display species-specific antibacterial effects depending on the phytochemical profile and bacterial cell wall structure (Essa </w:t>
      </w:r>
      <w:r>
        <w:rPr>
          <w:rFonts w:ascii="Times New Roman" w:hAnsi="Times New Roman" w:eastAsia="Times New Roman" w:cs="Times New Roman"/>
          <w:i/>
          <w:iCs/>
          <w:sz w:val="24"/>
          <w:szCs w:val="24"/>
        </w:rPr>
        <w:t>et al.,</w:t>
      </w:r>
      <w:r>
        <w:rPr>
          <w:rFonts w:ascii="Times New Roman" w:hAnsi="Times New Roman" w:eastAsia="Times New Roman" w:cs="Times New Roman"/>
          <w:sz w:val="24"/>
          <w:szCs w:val="24"/>
        </w:rPr>
        <w:t xml:space="preserve"> 2021; Vougat Ngom </w:t>
      </w:r>
      <w:r>
        <w:rPr>
          <w:rFonts w:ascii="Times New Roman" w:hAnsi="Times New Roman" w:eastAsia="Times New Roman" w:cs="Times New Roman"/>
          <w:i/>
          <w:iCs/>
          <w:sz w:val="24"/>
          <w:szCs w:val="24"/>
        </w:rPr>
        <w:t>et al.,</w:t>
      </w:r>
      <w:r>
        <w:rPr>
          <w:rFonts w:ascii="Times New Roman" w:hAnsi="Times New Roman" w:eastAsia="Times New Roman" w:cs="Times New Roman"/>
          <w:sz w:val="24"/>
          <w:szCs w:val="24"/>
        </w:rPr>
        <w:t xml:space="preserve"> 2021).</w:t>
      </w:r>
    </w:p>
    <w:p w14:paraId="3A1600EB">
      <w:pPr>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clear concentration-dependent increase in antibacterial activity was recorded, with the highest inhibition zones observed at 80 mg/mL (18.0 ± 1.00 mm for both </w:t>
      </w:r>
      <w:r>
        <w:rPr>
          <w:rFonts w:ascii="Times New Roman" w:hAnsi="Times New Roman" w:eastAsia="Times New Roman" w:cs="Times New Roman"/>
          <w:i/>
          <w:iCs/>
          <w:sz w:val="24"/>
          <w:szCs w:val="24"/>
        </w:rPr>
        <w:t>Klebsiella</w:t>
      </w:r>
      <w:r>
        <w:rPr>
          <w:rFonts w:ascii="Times New Roman" w:hAnsi="Times New Roman" w:eastAsia="Times New Roman" w:cs="Times New Roman"/>
          <w:sz w:val="24"/>
          <w:szCs w:val="24"/>
        </w:rPr>
        <w:t xml:space="preserve"> and </w:t>
      </w:r>
      <w:r>
        <w:rPr>
          <w:rFonts w:ascii="Times New Roman" w:hAnsi="Times New Roman" w:eastAsia="Times New Roman" w:cs="Times New Roman"/>
          <w:i/>
          <w:iCs/>
          <w:sz w:val="24"/>
          <w:szCs w:val="24"/>
        </w:rPr>
        <w:t>Bacillus</w:t>
      </w:r>
      <w:r>
        <w:rPr>
          <w:rFonts w:ascii="Times New Roman" w:hAnsi="Times New Roman" w:eastAsia="Times New Roman" w:cs="Times New Roman"/>
          <w:sz w:val="24"/>
          <w:szCs w:val="24"/>
        </w:rPr>
        <w:t xml:space="preserve">). This demonstrates that increasing the concentration of the extract enhances the availability of active metabolites and subsequently increases antibacterial potency. Similar trends were reported by Essa </w:t>
      </w:r>
      <w:r>
        <w:rPr>
          <w:rFonts w:ascii="Times New Roman" w:hAnsi="Times New Roman" w:eastAsia="Times New Roman" w:cs="Times New Roman"/>
          <w:i/>
          <w:iCs/>
          <w:sz w:val="24"/>
          <w:szCs w:val="24"/>
        </w:rPr>
        <w:t>et al.</w:t>
      </w:r>
      <w:r>
        <w:rPr>
          <w:rFonts w:ascii="Times New Roman" w:hAnsi="Times New Roman" w:eastAsia="Times New Roman" w:cs="Times New Roman"/>
          <w:sz w:val="24"/>
          <w:szCs w:val="24"/>
        </w:rPr>
        <w:t xml:space="preserve"> (2021), who demonstrated that higher concentrations of </w:t>
      </w:r>
      <w:r>
        <w:rPr>
          <w:rFonts w:ascii="Times New Roman" w:hAnsi="Times New Roman" w:eastAsia="Times New Roman" w:cs="Times New Roman"/>
          <w:i/>
          <w:iCs/>
          <w:sz w:val="24"/>
          <w:szCs w:val="24"/>
        </w:rPr>
        <w:t>Boscia angustifolia</w:t>
      </w:r>
      <w:r>
        <w:rPr>
          <w:rFonts w:ascii="Times New Roman" w:hAnsi="Times New Roman" w:eastAsia="Times New Roman" w:cs="Times New Roman"/>
          <w:sz w:val="24"/>
          <w:szCs w:val="24"/>
        </w:rPr>
        <w:t xml:space="preserve"> extracts produced greater inhibitory effects against susceptible bacteria.</w:t>
      </w:r>
    </w:p>
    <w:p w14:paraId="792E0FA2">
      <w:pPr>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absence of inhibition against </w:t>
      </w:r>
      <w:r>
        <w:rPr>
          <w:rFonts w:ascii="Times New Roman" w:hAnsi="Times New Roman" w:eastAsia="Times New Roman" w:cs="Times New Roman"/>
          <w:i/>
          <w:iCs/>
          <w:sz w:val="24"/>
          <w:szCs w:val="24"/>
        </w:rPr>
        <w:t>S. aureus</w:t>
      </w:r>
      <w:r>
        <w:rPr>
          <w:rFonts w:ascii="Times New Roman" w:hAnsi="Times New Roman" w:eastAsia="Times New Roman" w:cs="Times New Roman"/>
          <w:sz w:val="24"/>
          <w:szCs w:val="24"/>
        </w:rPr>
        <w:t xml:space="preserve"> and </w:t>
      </w:r>
      <w:r>
        <w:rPr>
          <w:rFonts w:ascii="Times New Roman" w:hAnsi="Times New Roman" w:eastAsia="Times New Roman" w:cs="Times New Roman"/>
          <w:i/>
          <w:iCs/>
          <w:sz w:val="24"/>
          <w:szCs w:val="24"/>
        </w:rPr>
        <w:t>E. coli</w:t>
      </w:r>
      <w:r>
        <w:rPr>
          <w:rFonts w:ascii="Times New Roman" w:hAnsi="Times New Roman" w:eastAsia="Times New Roman" w:cs="Times New Roman"/>
          <w:sz w:val="24"/>
          <w:szCs w:val="24"/>
        </w:rPr>
        <w:t xml:space="preserve"> may be linked to intrinsic bacterial resistance mechanisms. </w:t>
      </w:r>
      <w:r>
        <w:rPr>
          <w:rFonts w:ascii="Times New Roman" w:hAnsi="Times New Roman" w:eastAsia="Times New Roman" w:cs="Times New Roman"/>
          <w:i/>
          <w:iCs/>
          <w:sz w:val="24"/>
          <w:szCs w:val="24"/>
        </w:rPr>
        <w:t>E. coli</w:t>
      </w:r>
      <w:r>
        <w:rPr>
          <w:rFonts w:ascii="Times New Roman" w:hAnsi="Times New Roman" w:eastAsia="Times New Roman" w:cs="Times New Roman"/>
          <w:sz w:val="24"/>
          <w:szCs w:val="24"/>
        </w:rPr>
        <w:t xml:space="preserve">, a Gram-negative organism, possesses a lipopolysaccharide-rich outer membrane that restricts penetration of many plant-derived compounds, while </w:t>
      </w:r>
      <w:r>
        <w:rPr>
          <w:rFonts w:ascii="Times New Roman" w:hAnsi="Times New Roman" w:eastAsia="Times New Roman" w:cs="Times New Roman"/>
          <w:i/>
          <w:iCs/>
          <w:sz w:val="24"/>
          <w:szCs w:val="24"/>
        </w:rPr>
        <w:t>S. aureus</w:t>
      </w:r>
      <w:r>
        <w:rPr>
          <w:rFonts w:ascii="Times New Roman" w:hAnsi="Times New Roman" w:eastAsia="Times New Roman" w:cs="Times New Roman"/>
          <w:sz w:val="24"/>
          <w:szCs w:val="24"/>
        </w:rPr>
        <w:t xml:space="preserve"> may resist plant metabolites through efflux pumps or changes in membrane fluidity. According to Ghosh </w:t>
      </w:r>
      <w:r>
        <w:rPr>
          <w:rFonts w:ascii="Times New Roman" w:hAnsi="Times New Roman" w:eastAsia="Times New Roman" w:cs="Times New Roman"/>
          <w:i/>
          <w:iCs/>
          <w:sz w:val="24"/>
          <w:szCs w:val="24"/>
        </w:rPr>
        <w:t>et al.</w:t>
      </w:r>
      <w:r>
        <w:rPr>
          <w:rFonts w:ascii="Times New Roman" w:hAnsi="Times New Roman" w:eastAsia="Times New Roman" w:cs="Times New Roman"/>
          <w:sz w:val="24"/>
          <w:szCs w:val="24"/>
        </w:rPr>
        <w:t xml:space="preserve"> (2022), such structural and physiological features significantly influence bacterial susceptibility to natural antimicrobial agents. This explains why not all bacterial strains responded to the extract in the present study.</w:t>
      </w:r>
    </w:p>
    <w:p w14:paraId="3FEC4B32">
      <w:pPr>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Phytochemical analysis revealed the presence of saponins, alkaloids, flavonoids, and saponin glycosides, all of which are known to contribute to antimicrobial activity. These findings support earlier studies that attributed the antibacterial effects of </w:t>
      </w:r>
      <w:r>
        <w:rPr>
          <w:rFonts w:ascii="Times New Roman" w:hAnsi="Times New Roman" w:eastAsia="Times New Roman" w:cs="Times New Roman"/>
          <w:i/>
          <w:iCs/>
          <w:sz w:val="24"/>
          <w:szCs w:val="24"/>
        </w:rPr>
        <w:t>B. angustifolia</w:t>
      </w:r>
      <w:r>
        <w:rPr>
          <w:rFonts w:ascii="Times New Roman" w:hAnsi="Times New Roman" w:eastAsia="Times New Roman" w:cs="Times New Roman"/>
          <w:sz w:val="24"/>
          <w:szCs w:val="24"/>
        </w:rPr>
        <w:t xml:space="preserve"> to its rich secondary metabolite composition (Awa </w:t>
      </w:r>
      <w:r>
        <w:rPr>
          <w:rFonts w:ascii="Times New Roman" w:hAnsi="Times New Roman" w:eastAsia="Times New Roman" w:cs="Times New Roman"/>
          <w:i/>
          <w:iCs/>
          <w:sz w:val="24"/>
          <w:szCs w:val="24"/>
        </w:rPr>
        <w:t>et al</w:t>
      </w:r>
      <w:r>
        <w:rPr>
          <w:rFonts w:ascii="Times New Roman" w:hAnsi="Times New Roman" w:eastAsia="Times New Roman" w:cs="Times New Roman"/>
          <w:sz w:val="24"/>
          <w:szCs w:val="24"/>
        </w:rPr>
        <w:t xml:space="preserve">., 2023). Saponins are reported to disrupt microbial membranes, alkaloids may inhibit DNA replication, while flavonoids have been shown to interfere with bacterial enzymes and cell wall synthesis (Rahman </w:t>
      </w:r>
      <w:r>
        <w:rPr>
          <w:rFonts w:ascii="Times New Roman" w:hAnsi="Times New Roman" w:eastAsia="Times New Roman" w:cs="Times New Roman"/>
          <w:i/>
          <w:iCs/>
          <w:sz w:val="24"/>
          <w:szCs w:val="24"/>
        </w:rPr>
        <w:t>et al</w:t>
      </w:r>
      <w:r>
        <w:rPr>
          <w:rFonts w:ascii="Times New Roman" w:hAnsi="Times New Roman" w:eastAsia="Times New Roman" w:cs="Times New Roman"/>
          <w:sz w:val="24"/>
          <w:szCs w:val="24"/>
        </w:rPr>
        <w:t>., 2021). The combined presence of these compounds suggests that the observed antibacterial activity is multifactorial and synergistic, which is characteristic of crude plant extracts.</w:t>
      </w:r>
    </w:p>
    <w:p w14:paraId="57383EA4">
      <w:pPr>
        <w:spacing w:before="100" w:beforeAutospacing="1"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positive control (ciprofloxacin) produced significantly larger inhibition zones compared to the extract, confirming the reliability of the method and illustrating the expected potency of conventional antibiotics. The negative control showed no activity, indicating that neither DMSO nor distilled water contributed to antibacterial effects. This validates that the inhibition observed was solely due to the plant extract.</w:t>
      </w:r>
    </w:p>
    <w:p w14:paraId="167F5ADC">
      <w:pPr>
        <w:spacing w:before="100" w:beforeAutospacing="1" w:after="100" w:afterAutospacing="1"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findings of this research provide further evidence supporting the ethnomedicinal use of </w:t>
      </w:r>
      <w:r>
        <w:rPr>
          <w:rFonts w:ascii="Times New Roman" w:hAnsi="Times New Roman" w:eastAsia="Times New Roman" w:cs="Times New Roman"/>
          <w:i/>
          <w:iCs/>
          <w:sz w:val="24"/>
          <w:szCs w:val="24"/>
        </w:rPr>
        <w:t>Boscia angustifolia</w:t>
      </w:r>
      <w:r>
        <w:rPr>
          <w:rFonts w:ascii="Times New Roman" w:hAnsi="Times New Roman" w:eastAsia="Times New Roman" w:cs="Times New Roman"/>
          <w:sz w:val="24"/>
          <w:szCs w:val="24"/>
        </w:rPr>
        <w:t xml:space="preserve"> for treating infections. Studies between 2021 and 2025 have consistently reported antibacterial, antioxidant, and anti-inflammatory properties of the plant (Vougat Ngom </w:t>
      </w:r>
      <w:r>
        <w:rPr>
          <w:rFonts w:ascii="Times New Roman" w:hAnsi="Times New Roman" w:eastAsia="Times New Roman" w:cs="Times New Roman"/>
          <w:i/>
          <w:iCs/>
          <w:sz w:val="24"/>
          <w:szCs w:val="24"/>
        </w:rPr>
        <w:t>et al</w:t>
      </w:r>
      <w:r>
        <w:rPr>
          <w:rFonts w:ascii="Times New Roman" w:hAnsi="Times New Roman" w:eastAsia="Times New Roman" w:cs="Times New Roman"/>
          <w:sz w:val="24"/>
          <w:szCs w:val="24"/>
        </w:rPr>
        <w:t>., 2021; Chaughule &amp; Barve, 2024). However, the selective nature of its antibacterial activity observed in this study highlights the need for additional investigations such as fractionation, compound isolation, and in vivo studies, to determine whether purified molecules from the plant may offer broader or more potent activity.</w:t>
      </w:r>
    </w:p>
    <w:p w14:paraId="19790D3A">
      <w:pPr>
        <w:spacing w:before="100" w:beforeAutospacing="1" w:after="100" w:afterAutospacing="1" w:line="480" w:lineRule="auto"/>
        <w:jc w:val="both"/>
        <w:rPr>
          <w:rFonts w:ascii="Times New Roman" w:hAnsi="Times New Roman" w:eastAsia="Times New Roman" w:cs="Times New Roman"/>
          <w:sz w:val="24"/>
          <w:szCs w:val="24"/>
        </w:rPr>
      </w:pPr>
    </w:p>
    <w:p w14:paraId="4CB4B4CC">
      <w:pPr>
        <w:spacing w:before="100" w:beforeAutospacing="1" w:after="100" w:afterAutospacing="1"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Overall, the results confirm that </w:t>
      </w:r>
      <w:r>
        <w:rPr>
          <w:rFonts w:ascii="Times New Roman" w:hAnsi="Times New Roman" w:eastAsia="Times New Roman" w:cs="Times New Roman"/>
          <w:i/>
          <w:iCs/>
          <w:sz w:val="24"/>
          <w:szCs w:val="24"/>
        </w:rPr>
        <w:t>Boscia angustifolia</w:t>
      </w:r>
      <w:r>
        <w:rPr>
          <w:rFonts w:ascii="Times New Roman" w:hAnsi="Times New Roman" w:eastAsia="Times New Roman" w:cs="Times New Roman"/>
          <w:sz w:val="24"/>
          <w:szCs w:val="24"/>
        </w:rPr>
        <w:t xml:space="preserve"> contains pharmacologically relevant metabolites capable of inhibiting specific bacterial species. These findings strengthen scientific evidence supporting its traditional applications and suggest potential for future development of plant-based antibacterial therapies.</w:t>
      </w:r>
    </w:p>
    <w:p w14:paraId="79532C91">
      <w:pPr>
        <w:pStyle w:val="2"/>
        <w:spacing w:after="0" w:line="480" w:lineRule="auto"/>
      </w:pPr>
      <w:bookmarkStart w:id="73" w:name="_Toc215016075"/>
      <w:bookmarkStart w:id="74" w:name="_Toc215132375"/>
      <w:r>
        <w:rPr>
          <w:rStyle w:val="20"/>
          <w:b/>
          <w:bCs w:val="0"/>
        </w:rPr>
        <w:t>5.2</w:t>
      </w:r>
      <w:r>
        <w:rPr>
          <w:rStyle w:val="20"/>
          <w:b/>
          <w:bCs w:val="0"/>
        </w:rPr>
        <w:tab/>
      </w:r>
      <w:r>
        <w:rPr>
          <w:rStyle w:val="20"/>
          <w:b/>
          <w:bCs w:val="0"/>
        </w:rPr>
        <w:t>Conclusion</w:t>
      </w:r>
      <w:bookmarkEnd w:id="73"/>
      <w:bookmarkEnd w:id="74"/>
    </w:p>
    <w:p w14:paraId="06E19D8E">
      <w:pPr>
        <w:pStyle w:val="19"/>
        <w:spacing w:before="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This study has shown that </w:t>
      </w:r>
      <w:r>
        <w:rPr>
          <w:rStyle w:val="15"/>
          <w:rFonts w:eastAsiaTheme="majorEastAsia"/>
          <w:color w:val="000000" w:themeColor="text1"/>
          <w14:textFill>
            <w14:solidFill>
              <w14:schemeClr w14:val="tx1"/>
            </w14:solidFill>
          </w14:textFill>
        </w:rPr>
        <w:t xml:space="preserve">Boscia </w:t>
      </w:r>
      <w:r>
        <w:rPr>
          <w:i/>
          <w:iCs/>
          <w:color w:val="000000" w:themeColor="text1"/>
          <w14:textFill>
            <w14:solidFill>
              <w14:schemeClr w14:val="tx1"/>
            </w14:solidFill>
          </w14:textFill>
        </w:rPr>
        <w:t>angustifolia</w:t>
      </w:r>
      <w:r>
        <w:rPr>
          <w:color w:val="000000" w:themeColor="text1"/>
          <w14:textFill>
            <w14:solidFill>
              <w14:schemeClr w14:val="tx1"/>
            </w14:solidFill>
          </w14:textFill>
        </w:rPr>
        <w:t xml:space="preserve"> root extracts contain several phytochemicals with antibacterial potential. The presence of saponins, alkaloids, flavonoids, and saponin glycosides was confirmed, and the extract demonstrated selective antibacterial activity against </w:t>
      </w:r>
      <w:r>
        <w:rPr>
          <w:rStyle w:val="15"/>
          <w:rFonts w:eastAsiaTheme="majorEastAsia"/>
          <w:color w:val="000000" w:themeColor="text1"/>
          <w14:textFill>
            <w14:solidFill>
              <w14:schemeClr w14:val="tx1"/>
            </w14:solidFill>
          </w14:textFill>
        </w:rPr>
        <w:t>Klebsiella</w:t>
      </w:r>
      <w:r>
        <w:rPr>
          <w:color w:val="000000" w:themeColor="text1"/>
          <w14:textFill>
            <w14:solidFill>
              <w14:schemeClr w14:val="tx1"/>
            </w14:solidFill>
          </w14:textFill>
        </w:rPr>
        <w:t xml:space="preserve"> and </w:t>
      </w:r>
      <w:r>
        <w:rPr>
          <w:rStyle w:val="15"/>
          <w:rFonts w:eastAsiaTheme="majorEastAsia"/>
          <w:color w:val="000000" w:themeColor="text1"/>
          <w14:textFill>
            <w14:solidFill>
              <w14:schemeClr w14:val="tx1"/>
            </w14:solidFill>
          </w14:textFill>
        </w:rPr>
        <w:t>Bacillus</w:t>
      </w:r>
      <w:r>
        <w:rPr>
          <w:color w:val="000000" w:themeColor="text1"/>
          <w14:textFill>
            <w14:solidFill>
              <w14:schemeClr w14:val="tx1"/>
            </w14:solidFill>
          </w14:textFill>
        </w:rPr>
        <w:t xml:space="preserve"> species. The antibacterial effect was concentration-dependent, with the highest inhibition zones recorded at 80 mg/mL.</w:t>
      </w:r>
    </w:p>
    <w:p w14:paraId="18661333">
      <w:pPr>
        <w:pStyle w:val="19"/>
        <w:spacing w:before="240" w:beforeAutospacing="0" w:after="0" w:afterAutospacing="0"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The results support the traditional use of </w:t>
      </w:r>
      <w:r>
        <w:rPr>
          <w:rStyle w:val="15"/>
          <w:rFonts w:eastAsiaTheme="majorEastAsia"/>
          <w:color w:val="000000" w:themeColor="text1"/>
          <w14:textFill>
            <w14:solidFill>
              <w14:schemeClr w14:val="tx1"/>
            </w14:solidFill>
          </w14:textFill>
        </w:rPr>
        <w:t>B.</w:t>
      </w:r>
      <w:r>
        <w:rPr>
          <w:i/>
          <w:iCs/>
          <w:color w:val="000000" w:themeColor="text1"/>
          <w14:textFill>
            <w14:solidFill>
              <w14:schemeClr w14:val="tx1"/>
            </w14:solidFill>
          </w14:textFill>
        </w:rPr>
        <w:t xml:space="preserve"> angustifolia</w:t>
      </w:r>
      <w:r>
        <w:rPr>
          <w:color w:val="000000" w:themeColor="text1"/>
          <w14:textFill>
            <w14:solidFill>
              <w14:schemeClr w14:val="tx1"/>
            </w14:solidFill>
          </w14:textFill>
        </w:rPr>
        <w:t xml:space="preserve"> in the treatment of infectious diseases and validate its ethnopharmacological importance. The findings further suggest that the antibacterial action of </w:t>
      </w:r>
      <w:r>
        <w:rPr>
          <w:rStyle w:val="15"/>
          <w:rFonts w:eastAsiaTheme="majorEastAsia"/>
          <w:color w:val="000000" w:themeColor="text1"/>
          <w14:textFill>
            <w14:solidFill>
              <w14:schemeClr w14:val="tx1"/>
            </w14:solidFill>
          </w14:textFill>
        </w:rPr>
        <w:t xml:space="preserve">B. </w:t>
      </w:r>
      <w:r>
        <w:rPr>
          <w:i/>
          <w:iCs/>
          <w:color w:val="000000" w:themeColor="text1"/>
          <w14:textFill>
            <w14:solidFill>
              <w14:schemeClr w14:val="tx1"/>
            </w14:solidFill>
          </w14:textFill>
        </w:rPr>
        <w:t>angustifolia</w:t>
      </w:r>
      <w:r>
        <w:rPr>
          <w:color w:val="000000" w:themeColor="text1"/>
          <w14:textFill>
            <w14:solidFill>
              <w14:schemeClr w14:val="tx1"/>
            </w14:solidFill>
          </w14:textFill>
        </w:rPr>
        <w:t xml:space="preserve"> may involve mechanisms such as membrane disruption and inhibition of essential bacterial enzymes or nucleic acid synthesis.</w:t>
      </w:r>
    </w:p>
    <w:p w14:paraId="2A6D1B5A">
      <w:pPr>
        <w:pStyle w:val="2"/>
        <w:spacing w:after="0" w:line="480" w:lineRule="auto"/>
      </w:pPr>
      <w:bookmarkStart w:id="75" w:name="_Toc215132376"/>
      <w:bookmarkStart w:id="76" w:name="_Toc215016076"/>
      <w:r>
        <w:rPr>
          <w:rStyle w:val="20"/>
          <w:b/>
          <w:bCs w:val="0"/>
        </w:rPr>
        <w:t>5.3</w:t>
      </w:r>
      <w:r>
        <w:rPr>
          <w:rStyle w:val="20"/>
          <w:b/>
          <w:bCs w:val="0"/>
        </w:rPr>
        <w:tab/>
      </w:r>
      <w:r>
        <w:rPr>
          <w:rStyle w:val="20"/>
          <w:b/>
          <w:bCs w:val="0"/>
        </w:rPr>
        <w:t>Recommendations</w:t>
      </w:r>
      <w:bookmarkEnd w:id="75"/>
      <w:bookmarkEnd w:id="76"/>
    </w:p>
    <w:p w14:paraId="5C2A004C">
      <w:pPr>
        <w:pStyle w:val="19"/>
        <w:numPr>
          <w:ilvl w:val="0"/>
          <w:numId w:val="4"/>
        </w:numPr>
        <w:tabs>
          <w:tab w:val="clear" w:pos="720"/>
        </w:tabs>
        <w:spacing w:before="0" w:beforeAutospacing="0" w:after="0" w:afterAutospacing="0" w:line="480" w:lineRule="auto"/>
        <w:ind w:left="426" w:hanging="426"/>
        <w:jc w:val="both"/>
        <w:rPr>
          <w:rFonts w:eastAsiaTheme="majorEastAsia"/>
          <w:color w:val="000000" w:themeColor="text1"/>
          <w14:textFill>
            <w14:solidFill>
              <w14:schemeClr w14:val="tx1"/>
            </w14:solidFill>
          </w14:textFill>
        </w:rPr>
      </w:pPr>
      <w:r>
        <w:rPr>
          <w:color w:val="000000" w:themeColor="text1"/>
          <w14:textFill>
            <w14:solidFill>
              <w14:schemeClr w14:val="tx1"/>
            </w14:solidFill>
          </w14:textFill>
        </w:rPr>
        <w:t>Bioassay-guided fractionation should be conducted to isolate and identify the specific compounds responsible for antibacterial activity. This will provide better insight into their mechanisms of action.</w:t>
      </w:r>
    </w:p>
    <w:p w14:paraId="44443C48">
      <w:pPr>
        <w:pStyle w:val="19"/>
        <w:numPr>
          <w:ilvl w:val="0"/>
          <w:numId w:val="4"/>
        </w:numPr>
        <w:tabs>
          <w:tab w:val="clear" w:pos="720"/>
        </w:tabs>
        <w:spacing w:before="0" w:beforeAutospacing="0" w:after="0" w:afterAutospacing="0" w:line="480" w:lineRule="auto"/>
        <w:ind w:left="426" w:hanging="426"/>
        <w:jc w:val="both"/>
        <w:rPr>
          <w:rFonts w:eastAsiaTheme="majorEastAsia"/>
          <w:color w:val="000000" w:themeColor="text1"/>
          <w14:textFill>
            <w14:solidFill>
              <w14:schemeClr w14:val="tx1"/>
            </w14:solidFill>
          </w14:textFill>
        </w:rPr>
      </w:pPr>
      <w:r>
        <w:rPr>
          <w:color w:val="000000" w:themeColor="text1"/>
          <w14:textFill>
            <w14:solidFill>
              <w14:schemeClr w14:val="tx1"/>
            </w14:solidFill>
          </w14:textFill>
        </w:rPr>
        <w:t xml:space="preserve">Future research should include in </w:t>
      </w:r>
      <w:r>
        <w:rPr>
          <w:i/>
          <w:color w:val="000000" w:themeColor="text1"/>
          <w14:textFill>
            <w14:solidFill>
              <w14:schemeClr w14:val="tx1"/>
            </w14:solidFill>
          </w14:textFill>
        </w:rPr>
        <w:t>vivo</w:t>
      </w:r>
      <w:r>
        <w:rPr>
          <w:color w:val="000000" w:themeColor="text1"/>
          <w14:textFill>
            <w14:solidFill>
              <w14:schemeClr w14:val="tx1"/>
            </w14:solidFill>
          </w14:textFill>
        </w:rPr>
        <w:t xml:space="preserve"> evaluations to confirm the safety, efficacy, and pharmacokinetics of </w:t>
      </w:r>
      <w:r>
        <w:rPr>
          <w:rStyle w:val="15"/>
          <w:rFonts w:eastAsiaTheme="majorEastAsia"/>
          <w:color w:val="000000" w:themeColor="text1"/>
          <w14:textFill>
            <w14:solidFill>
              <w14:schemeClr w14:val="tx1"/>
            </w14:solidFill>
          </w14:textFill>
        </w:rPr>
        <w:t xml:space="preserve">B. </w:t>
      </w:r>
      <w:r>
        <w:rPr>
          <w:i/>
          <w:iCs/>
          <w:color w:val="000000" w:themeColor="text1"/>
          <w14:textFill>
            <w14:solidFill>
              <w14:schemeClr w14:val="tx1"/>
            </w14:solidFill>
          </w14:textFill>
        </w:rPr>
        <w:t>angustifolia</w:t>
      </w:r>
      <w:r>
        <w:rPr>
          <w:color w:val="000000" w:themeColor="text1"/>
          <w14:textFill>
            <w14:solidFill>
              <w14:schemeClr w14:val="tx1"/>
            </w14:solidFill>
          </w14:textFill>
        </w:rPr>
        <w:t xml:space="preserve"> extracts in animal models.</w:t>
      </w:r>
    </w:p>
    <w:p w14:paraId="22193026">
      <w:pPr>
        <w:pStyle w:val="19"/>
        <w:numPr>
          <w:ilvl w:val="0"/>
          <w:numId w:val="4"/>
        </w:numPr>
        <w:tabs>
          <w:tab w:val="clear" w:pos="720"/>
        </w:tabs>
        <w:spacing w:before="0" w:beforeAutospacing="0" w:after="0" w:afterAutospacing="0" w:line="480" w:lineRule="auto"/>
        <w:ind w:left="426" w:hanging="426"/>
        <w:jc w:val="both"/>
        <w:rPr>
          <w:rFonts w:eastAsiaTheme="majorEastAsia"/>
          <w:color w:val="000000" w:themeColor="text1"/>
          <w14:textFill>
            <w14:solidFill>
              <w14:schemeClr w14:val="tx1"/>
            </w14:solidFill>
          </w14:textFill>
        </w:rPr>
      </w:pPr>
      <w:r>
        <w:rPr>
          <w:color w:val="000000" w:themeColor="text1"/>
          <w14:textFill>
            <w14:solidFill>
              <w14:schemeClr w14:val="tx1"/>
            </w14:solidFill>
          </w14:textFill>
        </w:rPr>
        <w:t xml:space="preserve">The interaction of </w:t>
      </w:r>
      <w:r>
        <w:rPr>
          <w:rStyle w:val="15"/>
          <w:rFonts w:eastAsiaTheme="majorEastAsia"/>
          <w:color w:val="000000" w:themeColor="text1"/>
          <w14:textFill>
            <w14:solidFill>
              <w14:schemeClr w14:val="tx1"/>
            </w14:solidFill>
          </w14:textFill>
        </w:rPr>
        <w:t>B.</w:t>
      </w:r>
      <w:r>
        <w:rPr>
          <w:i/>
          <w:iCs/>
          <w:color w:val="000000" w:themeColor="text1"/>
          <w14:textFill>
            <w14:solidFill>
              <w14:schemeClr w14:val="tx1"/>
            </w14:solidFill>
          </w14:textFill>
        </w:rPr>
        <w:t xml:space="preserve"> angustifolia</w:t>
      </w:r>
      <w:r>
        <w:rPr>
          <w:color w:val="000000" w:themeColor="text1"/>
          <w14:textFill>
            <w14:solidFill>
              <w14:schemeClr w14:val="tx1"/>
            </w14:solidFill>
          </w14:textFill>
        </w:rPr>
        <w:t xml:space="preserve"> extracts with conventional antibiotics should be explored to determine possible synergistic or antagonistic effects that could inform combination therapy.</w:t>
      </w:r>
    </w:p>
    <w:p w14:paraId="51E8813E">
      <w:pPr>
        <w:pStyle w:val="2"/>
        <w:spacing w:after="0" w:line="480" w:lineRule="auto"/>
      </w:pPr>
      <w:bookmarkStart w:id="77" w:name="_Toc215016077"/>
      <w:bookmarkStart w:id="78" w:name="_Toc215132377"/>
      <w:bookmarkStart w:id="79" w:name="_Hlk214590947"/>
      <w:r>
        <w:t>REFERENCES</w:t>
      </w:r>
      <w:bookmarkEnd w:id="77"/>
      <w:bookmarkEnd w:id="78"/>
    </w:p>
    <w:bookmarkEnd w:id="79"/>
    <w:p w14:paraId="7E429237">
      <w:pPr>
        <w:spacing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Abdallah, E. M., Alhatlani, B. Y., de Paula Menezes, R., &amp; Martins, C. H. G. (2023). Back to nature: Medicinal plants as promising sources for antibacterial drugs in the post-antibiotic era. </w:t>
      </w:r>
      <w:r>
        <w:rPr>
          <w:rFonts w:ascii="Times New Roman" w:hAnsi="Times New Roman" w:eastAsia="Times New Roman" w:cs="Times New Roman"/>
          <w:i/>
          <w:iCs/>
          <w:sz w:val="24"/>
          <w:szCs w:val="24"/>
        </w:rPr>
        <w:t>Plants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12</w:t>
      </w:r>
      <w:r>
        <w:rPr>
          <w:rFonts w:ascii="Times New Roman" w:hAnsi="Times New Roman" w:eastAsia="Times New Roman" w:cs="Times New Roman"/>
          <w:sz w:val="24"/>
          <w:szCs w:val="24"/>
        </w:rPr>
        <w:t>(17), 3077.</w:t>
      </w:r>
    </w:p>
    <w:p w14:paraId="5AF03659">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Algfri, S. K., Qaid, A. A., &amp; Mahde, S. A. (2021). Preliminary phytochemical analysis and in vitro antioxidant activity of Boscia Arabica leaves. </w:t>
      </w:r>
      <w:r>
        <w:rPr>
          <w:rFonts w:ascii="Times New Roman" w:hAnsi="Times New Roman" w:eastAsia="Times New Roman" w:cs="Times New Roman"/>
          <w:i/>
          <w:iCs/>
          <w:sz w:val="24"/>
          <w:szCs w:val="24"/>
        </w:rPr>
        <w:t>Int. J. Pharm. Sci. Rev. Res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68</w:t>
      </w:r>
      <w:r>
        <w:rPr>
          <w:rFonts w:ascii="Times New Roman" w:hAnsi="Times New Roman" w:eastAsia="Times New Roman" w:cs="Times New Roman"/>
          <w:sz w:val="24"/>
          <w:szCs w:val="24"/>
        </w:rPr>
        <w:t>(1), 127-134.</w:t>
      </w:r>
    </w:p>
    <w:p w14:paraId="4C61E39A">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Alkali, K., Dikwa, K. B., Ajibade, G. A., Magaji, Y., Abdulhamid, M. B., &amp; Hamza, M. M. Bayero (2024) Journal of Medical Laboratory Science Journal/Bayero Journal of Medical Laboratory Science/Vol. 9 No. 1/Articles Open Access.</w:t>
      </w:r>
    </w:p>
    <w:p w14:paraId="62655AAB">
      <w:pPr>
        <w:spacing w:before="240" w:after="0" w:line="240" w:lineRule="auto"/>
        <w:ind w:left="720" w:hanging="720"/>
        <w:jc w:val="both"/>
        <w:rPr>
          <w:rFonts w:ascii="Times New Roman" w:hAnsi="Times New Roman" w:eastAsia="Times New Roman" w:cs="Times New Roman"/>
          <w:sz w:val="24"/>
          <w:szCs w:val="24"/>
        </w:rPr>
      </w:pPr>
      <w:bookmarkStart w:id="80" w:name="_Hlk214593316"/>
      <w:r>
        <w:rPr>
          <w:rFonts w:ascii="Times New Roman" w:hAnsi="Times New Roman" w:eastAsia="Times New Roman" w:cs="Times New Roman"/>
          <w:sz w:val="24"/>
          <w:szCs w:val="24"/>
        </w:rPr>
        <w:t>Alvarino</w:t>
      </w:r>
      <w:bookmarkEnd w:id="80"/>
      <w:r>
        <w:rPr>
          <w:rFonts w:ascii="Times New Roman" w:hAnsi="Times New Roman" w:eastAsia="Times New Roman" w:cs="Times New Roman"/>
          <w:sz w:val="24"/>
          <w:szCs w:val="24"/>
        </w:rPr>
        <w:t xml:space="preserve">, L. A. D. S., Manzotti, F., Moreira, W. M., de Araújo, T. P., Vareschini, D. T., &amp; de Barros, M. A. S. D. (2023). Antibacterial potential of activated carbon impregnated with garlic extract. </w:t>
      </w:r>
      <w:r>
        <w:rPr>
          <w:rFonts w:ascii="Times New Roman" w:hAnsi="Times New Roman" w:eastAsia="Times New Roman" w:cs="Times New Roman"/>
          <w:i/>
          <w:iCs/>
          <w:sz w:val="24"/>
          <w:szCs w:val="24"/>
        </w:rPr>
        <w:t>Processes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11</w:t>
      </w:r>
      <w:r>
        <w:rPr>
          <w:rFonts w:ascii="Times New Roman" w:hAnsi="Times New Roman" w:eastAsia="Times New Roman" w:cs="Times New Roman"/>
          <w:sz w:val="24"/>
          <w:szCs w:val="24"/>
        </w:rPr>
        <w:t>(10), 2948.</w:t>
      </w:r>
    </w:p>
    <w:p w14:paraId="65543626">
      <w:pPr>
        <w:spacing w:before="240" w:after="0" w:line="240" w:lineRule="auto"/>
        <w:ind w:left="720" w:hanging="720"/>
        <w:jc w:val="both"/>
        <w:rPr>
          <w:rFonts w:ascii="Times New Roman" w:hAnsi="Times New Roman" w:eastAsia="Times New Roman" w:cs="Times New Roman"/>
          <w:sz w:val="24"/>
          <w:szCs w:val="24"/>
        </w:rPr>
      </w:pPr>
      <w:bookmarkStart w:id="81" w:name="_Hlk214592508"/>
      <w:r>
        <w:rPr>
          <w:rFonts w:ascii="Times New Roman" w:hAnsi="Times New Roman" w:eastAsia="Times New Roman" w:cs="Times New Roman"/>
          <w:sz w:val="24"/>
          <w:szCs w:val="24"/>
        </w:rPr>
        <w:t xml:space="preserve">Angelini, P. (2024). </w:t>
      </w:r>
      <w:bookmarkEnd w:id="81"/>
      <w:r>
        <w:rPr>
          <w:rFonts w:ascii="Times New Roman" w:hAnsi="Times New Roman" w:eastAsia="Times New Roman" w:cs="Times New Roman"/>
          <w:sz w:val="24"/>
          <w:szCs w:val="24"/>
        </w:rPr>
        <w:t xml:space="preserve">Plant-derived antimicrobials and their crucial role in combating antimicrobial resistance. </w:t>
      </w:r>
      <w:r>
        <w:rPr>
          <w:rFonts w:ascii="Times New Roman" w:hAnsi="Times New Roman" w:eastAsia="Times New Roman" w:cs="Times New Roman"/>
          <w:i/>
          <w:iCs/>
          <w:sz w:val="24"/>
          <w:szCs w:val="24"/>
        </w:rPr>
        <w:t>Antibiotics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13</w:t>
      </w:r>
      <w:r>
        <w:rPr>
          <w:rFonts w:ascii="Times New Roman" w:hAnsi="Times New Roman" w:eastAsia="Times New Roman" w:cs="Times New Roman"/>
          <w:sz w:val="24"/>
          <w:szCs w:val="24"/>
        </w:rPr>
        <w:t>(8), 746.</w:t>
      </w:r>
    </w:p>
    <w:p w14:paraId="6AAE3C73">
      <w:pPr>
        <w:spacing w:before="240" w:after="100" w:afterAutospacing="1"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Awa, D. N., Vougat Ngom, R., &amp; Ekoume, M. E. (2023). Phytochemical screening and antibacterial properties of </w:t>
      </w:r>
      <w:r>
        <w:rPr>
          <w:rFonts w:ascii="Times New Roman" w:hAnsi="Times New Roman" w:eastAsia="Times New Roman" w:cs="Times New Roman"/>
          <w:i/>
          <w:iCs/>
          <w:sz w:val="24"/>
          <w:szCs w:val="24"/>
        </w:rPr>
        <w:t>Boscia angustifolia</w:t>
      </w:r>
      <w:r>
        <w:rPr>
          <w:rFonts w:ascii="Times New Roman" w:hAnsi="Times New Roman" w:eastAsia="Times New Roman" w:cs="Times New Roman"/>
          <w:sz w:val="24"/>
          <w:szCs w:val="24"/>
        </w:rPr>
        <w:t xml:space="preserve"> extracts from Cameroon. </w:t>
      </w:r>
      <w:r>
        <w:rPr>
          <w:rFonts w:ascii="Times New Roman" w:hAnsi="Times New Roman" w:eastAsia="Times New Roman" w:cs="Times New Roman"/>
          <w:i/>
          <w:iCs/>
          <w:sz w:val="24"/>
          <w:szCs w:val="24"/>
        </w:rPr>
        <w:t>African Journal of Traditional, Complementary and Alternative Medicines</w:t>
      </w:r>
      <w:r>
        <w:rPr>
          <w:rFonts w:ascii="Times New Roman" w:hAnsi="Times New Roman" w:eastAsia="Times New Roman" w:cs="Times New Roman"/>
          <w:sz w:val="24"/>
          <w:szCs w:val="24"/>
        </w:rPr>
        <w:t>, 20(1), 45–54.</w:t>
      </w:r>
    </w:p>
    <w:p w14:paraId="3951F027">
      <w:pPr>
        <w:spacing w:before="240" w:after="0" w:line="240" w:lineRule="auto"/>
        <w:ind w:left="720" w:hanging="720"/>
        <w:jc w:val="both"/>
        <w:rPr>
          <w:rFonts w:ascii="Times New Roman" w:hAnsi="Times New Roman" w:eastAsia="Times New Roman" w:cs="Times New Roman"/>
          <w:sz w:val="24"/>
          <w:szCs w:val="24"/>
        </w:rPr>
      </w:pPr>
      <w:bookmarkStart w:id="82" w:name="_Hlk214590554"/>
      <w:r>
        <w:rPr>
          <w:rFonts w:ascii="Times New Roman" w:hAnsi="Times New Roman" w:eastAsia="Times New Roman" w:cs="Times New Roman"/>
          <w:sz w:val="24"/>
          <w:szCs w:val="24"/>
        </w:rPr>
        <w:t xml:space="preserve">Bhattacharjee, M. K. (2025). </w:t>
      </w:r>
      <w:bookmarkEnd w:id="82"/>
      <w:r>
        <w:rPr>
          <w:rFonts w:ascii="Times New Roman" w:hAnsi="Times New Roman" w:eastAsia="Times New Roman" w:cs="Times New Roman"/>
          <w:sz w:val="24"/>
          <w:szCs w:val="24"/>
        </w:rPr>
        <w:t xml:space="preserve">Antibiotics that inhibit cell wall synthesis. In </w:t>
      </w:r>
      <w:r>
        <w:rPr>
          <w:rFonts w:ascii="Times New Roman" w:hAnsi="Times New Roman" w:eastAsia="Times New Roman" w:cs="Times New Roman"/>
          <w:i/>
          <w:iCs/>
          <w:sz w:val="24"/>
          <w:szCs w:val="24"/>
        </w:rPr>
        <w:t>Chemistry of Antibiotics and Related Drugs</w:t>
      </w:r>
      <w:r>
        <w:rPr>
          <w:rFonts w:ascii="Times New Roman" w:hAnsi="Times New Roman" w:eastAsia="Times New Roman" w:cs="Times New Roman"/>
          <w:sz w:val="24"/>
          <w:szCs w:val="24"/>
        </w:rPr>
        <w:t xml:space="preserve"> (pp. 55-107). Cham: Springer Nature Switzerland.</w:t>
      </w:r>
    </w:p>
    <w:p w14:paraId="1776E2FC">
      <w:pPr>
        <w:spacing w:before="240" w:after="100" w:afterAutospacing="1"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Chaughule, R. S., &amp; Barve, P. (2024). Pharmacological evaluation of medicinal plants with antimicrobial potential: A systematic review. </w:t>
      </w:r>
      <w:r>
        <w:rPr>
          <w:rFonts w:ascii="Times New Roman" w:hAnsi="Times New Roman" w:eastAsia="Times New Roman" w:cs="Times New Roman"/>
          <w:i/>
          <w:iCs/>
          <w:sz w:val="24"/>
          <w:szCs w:val="24"/>
        </w:rPr>
        <w:t>Journal of Ethnopharmacology</w:t>
      </w:r>
      <w:r>
        <w:rPr>
          <w:rFonts w:ascii="Times New Roman" w:hAnsi="Times New Roman" w:eastAsia="Times New Roman" w:cs="Times New Roman"/>
          <w:sz w:val="24"/>
          <w:szCs w:val="24"/>
        </w:rPr>
        <w:t>, 317, 116920.</w:t>
      </w:r>
    </w:p>
    <w:p w14:paraId="46EE96B8">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Chaughule, R. S., &amp; Barve, R. S. (2024). Role of herbal medicines in the treatment of infectious diseases. In </w:t>
      </w:r>
      <w:r>
        <w:rPr>
          <w:rFonts w:ascii="Times New Roman" w:hAnsi="Times New Roman" w:eastAsia="Times New Roman" w:cs="Times New Roman"/>
          <w:i/>
          <w:iCs/>
          <w:sz w:val="24"/>
          <w:szCs w:val="24"/>
        </w:rPr>
        <w:t>Infectious Diseases</w:t>
      </w:r>
      <w:r>
        <w:rPr>
          <w:rFonts w:ascii="Times New Roman" w:hAnsi="Times New Roman" w:eastAsia="Times New Roman" w:cs="Times New Roman"/>
          <w:sz w:val="24"/>
          <w:szCs w:val="24"/>
        </w:rPr>
        <w:t xml:space="preserve"> (pp. 74-91). Bentham Science Publishers.</w:t>
      </w:r>
    </w:p>
    <w:p w14:paraId="4A18DB06">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Chele, K. H., Piater, L. A., van der Hooft, J. J., &amp; Tugizimana, F. (2025). Bridging Ethnobotanical Knowledge and Multi-Omics Approaches for Plant-Derived Natural Product Discovery. </w:t>
      </w:r>
      <w:r>
        <w:rPr>
          <w:rFonts w:ascii="Times New Roman" w:hAnsi="Times New Roman" w:eastAsia="Times New Roman" w:cs="Times New Roman"/>
          <w:i/>
          <w:iCs/>
          <w:sz w:val="24"/>
          <w:szCs w:val="24"/>
        </w:rPr>
        <w:t>Metabolites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15</w:t>
      </w:r>
      <w:r>
        <w:rPr>
          <w:rFonts w:ascii="Times New Roman" w:hAnsi="Times New Roman" w:eastAsia="Times New Roman" w:cs="Times New Roman"/>
          <w:sz w:val="24"/>
          <w:szCs w:val="24"/>
        </w:rPr>
        <w:t>(6), 362.</w:t>
      </w:r>
    </w:p>
    <w:p w14:paraId="36974847">
      <w:pPr>
        <w:pStyle w:val="19"/>
        <w:spacing w:before="240" w:beforeAutospacing="0"/>
        <w:ind w:left="720" w:hanging="720"/>
        <w:jc w:val="both"/>
        <w:rPr>
          <w:color w:val="000000" w:themeColor="text1"/>
          <w14:textFill>
            <w14:solidFill>
              <w14:schemeClr w14:val="tx1"/>
            </w14:solidFill>
          </w14:textFill>
        </w:rPr>
      </w:pPr>
      <w:r>
        <w:rPr>
          <w:color w:val="000000" w:themeColor="text1"/>
          <w14:textFill>
            <w14:solidFill>
              <w14:schemeClr w14:val="tx1"/>
            </w14:solidFill>
          </w14:textFill>
        </w:rPr>
        <w:t xml:space="preserve">CLSI. (2020). </w:t>
      </w:r>
      <w:r>
        <w:rPr>
          <w:i/>
          <w:iCs/>
          <w:color w:val="000000" w:themeColor="text1"/>
          <w14:textFill>
            <w14:solidFill>
              <w14:schemeClr w14:val="tx1"/>
            </w14:solidFill>
          </w14:textFill>
        </w:rPr>
        <w:t>Performance standards for antimicrobial susceptibility testing</w:t>
      </w:r>
      <w:r>
        <w:rPr>
          <w:color w:val="000000" w:themeColor="text1"/>
          <w14:textFill>
            <w14:solidFill>
              <w14:schemeClr w14:val="tx1"/>
            </w14:solidFill>
          </w14:textFill>
        </w:rPr>
        <w:t xml:space="preserve"> (30th ed.). Clinical                  and Laboratory Standards Institute.</w:t>
      </w:r>
    </w:p>
    <w:p w14:paraId="64BC9020">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Dalhoff, A. (2021). Selective toxicity of antibacterial agents—still a valid concept or do we miss chances and ignore risks?. </w:t>
      </w:r>
      <w:r>
        <w:rPr>
          <w:rFonts w:ascii="Times New Roman" w:hAnsi="Times New Roman" w:eastAsia="Times New Roman" w:cs="Times New Roman"/>
          <w:i/>
          <w:iCs/>
          <w:sz w:val="24"/>
          <w:szCs w:val="24"/>
        </w:rPr>
        <w:t>Infection</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49</w:t>
      </w:r>
      <w:r>
        <w:rPr>
          <w:rFonts w:ascii="Times New Roman" w:hAnsi="Times New Roman" w:eastAsia="Times New Roman" w:cs="Times New Roman"/>
          <w:sz w:val="24"/>
          <w:szCs w:val="24"/>
        </w:rPr>
        <w:t>(1), 29-56.</w:t>
      </w:r>
    </w:p>
    <w:p w14:paraId="30F20EA4">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Donadio, G., Mensitieri, F., Santoro, V., Parisi, V., Bellone, M. L., De Tommasi, N., ... &amp; Dal Piaz, F. (2021). Interactions with microbial proteins driving the antibacterial activity of flavonoids. </w:t>
      </w:r>
      <w:r>
        <w:rPr>
          <w:rFonts w:ascii="Times New Roman" w:hAnsi="Times New Roman" w:eastAsia="Times New Roman" w:cs="Times New Roman"/>
          <w:i/>
          <w:iCs/>
          <w:sz w:val="24"/>
          <w:szCs w:val="24"/>
        </w:rPr>
        <w:t>Pharmaceutics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13</w:t>
      </w:r>
      <w:r>
        <w:rPr>
          <w:rFonts w:ascii="Times New Roman" w:hAnsi="Times New Roman" w:eastAsia="Times New Roman" w:cs="Times New Roman"/>
          <w:sz w:val="24"/>
          <w:szCs w:val="24"/>
        </w:rPr>
        <w:t>(5), 660.</w:t>
      </w:r>
    </w:p>
    <w:p w14:paraId="51287C73">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Ecevit, K., Barros, A. A., Silva, J. M., &amp; Reis, R. L. (2022). Preventing microbial infections with natural phenolic compounds. </w:t>
      </w:r>
      <w:r>
        <w:rPr>
          <w:rFonts w:ascii="Times New Roman" w:hAnsi="Times New Roman" w:eastAsia="Times New Roman" w:cs="Times New Roman"/>
          <w:i/>
          <w:iCs/>
          <w:sz w:val="24"/>
          <w:szCs w:val="24"/>
        </w:rPr>
        <w:t>Future Pharmacology</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2</w:t>
      </w:r>
      <w:r>
        <w:rPr>
          <w:rFonts w:ascii="Times New Roman" w:hAnsi="Times New Roman" w:eastAsia="Times New Roman" w:cs="Times New Roman"/>
          <w:sz w:val="24"/>
          <w:szCs w:val="24"/>
        </w:rPr>
        <w:t>(4), 460-498.</w:t>
      </w:r>
    </w:p>
    <w:p w14:paraId="193B1D93">
      <w:pPr>
        <w:spacing w:before="240" w:after="100" w:afterAutospacing="1"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Essa, M. A., Vougat Ngom, R., &amp; Doka, I. G. (2021). Antibacterial and antioxidant properties of </w:t>
      </w:r>
      <w:r>
        <w:rPr>
          <w:rFonts w:ascii="Times New Roman" w:hAnsi="Times New Roman" w:eastAsia="Times New Roman" w:cs="Times New Roman"/>
          <w:i/>
          <w:iCs/>
          <w:sz w:val="24"/>
          <w:szCs w:val="24"/>
        </w:rPr>
        <w:t>Boscia angustifolia</w:t>
      </w:r>
      <w:r>
        <w:rPr>
          <w:rFonts w:ascii="Times New Roman" w:hAnsi="Times New Roman" w:eastAsia="Times New Roman" w:cs="Times New Roman"/>
          <w:sz w:val="24"/>
          <w:szCs w:val="24"/>
        </w:rPr>
        <w:t xml:space="preserve"> extracts against multidrug-resistant bacteria. </w:t>
      </w:r>
      <w:r>
        <w:rPr>
          <w:rFonts w:ascii="Times New Roman" w:hAnsi="Times New Roman" w:eastAsia="Times New Roman" w:cs="Times New Roman"/>
          <w:i/>
          <w:iCs/>
          <w:sz w:val="24"/>
          <w:szCs w:val="24"/>
        </w:rPr>
        <w:t>Journal of Applied Biosciences</w:t>
      </w:r>
      <w:r>
        <w:rPr>
          <w:rFonts w:ascii="Times New Roman" w:hAnsi="Times New Roman" w:eastAsia="Times New Roman" w:cs="Times New Roman"/>
          <w:sz w:val="24"/>
          <w:szCs w:val="24"/>
        </w:rPr>
        <w:t>, 162, 16758–16769.</w:t>
      </w:r>
    </w:p>
    <w:p w14:paraId="0BEA430F">
      <w:pPr>
        <w:spacing w:before="240" w:after="100" w:afterAutospacing="1" w:line="24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Field, A. (2018). </w:t>
      </w:r>
      <w:r>
        <w:rPr>
          <w:rFonts w:ascii="Times New Roman" w:hAnsi="Times New Roman" w:eastAsia="Times New Roman" w:cs="Times New Roman"/>
          <w:i/>
          <w:iCs/>
          <w:color w:val="000000" w:themeColor="text1"/>
          <w:sz w:val="24"/>
          <w:szCs w:val="24"/>
          <w14:textFill>
            <w14:solidFill>
              <w14:schemeClr w14:val="tx1"/>
            </w14:solidFill>
          </w14:textFill>
        </w:rPr>
        <w:t>Discovering statistics using IBM SPSS statistics</w:t>
      </w:r>
      <w:r>
        <w:rPr>
          <w:rFonts w:ascii="Times New Roman" w:hAnsi="Times New Roman" w:eastAsia="Times New Roman" w:cs="Times New Roman"/>
          <w:color w:val="000000" w:themeColor="text1"/>
          <w:sz w:val="24"/>
          <w:szCs w:val="24"/>
          <w14:textFill>
            <w14:solidFill>
              <w14:schemeClr w14:val="tx1"/>
            </w14:solidFill>
          </w14:textFill>
        </w:rPr>
        <w:t xml:space="preserve"> (5th ed.). SAGE Publications.</w:t>
      </w:r>
    </w:p>
    <w:p w14:paraId="351B41D5">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Gajic, I., Tomic, N., Lukovic, B., Jovicevic, M., Kekic, D., Petrovic, M., ... &amp; Opavski, N. (2025). A comprehensive overview of antibacterial agents for combating Multidrug-Resistant bacteria: the current landscape, development, future opportunities, and challenges. </w:t>
      </w:r>
      <w:r>
        <w:rPr>
          <w:rFonts w:ascii="Times New Roman" w:hAnsi="Times New Roman" w:eastAsia="Times New Roman" w:cs="Times New Roman"/>
          <w:i/>
          <w:iCs/>
          <w:sz w:val="24"/>
          <w:szCs w:val="24"/>
        </w:rPr>
        <w:t>Antibiotics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14</w:t>
      </w:r>
      <w:r>
        <w:rPr>
          <w:rFonts w:ascii="Times New Roman" w:hAnsi="Times New Roman" w:eastAsia="Times New Roman" w:cs="Times New Roman"/>
          <w:sz w:val="24"/>
          <w:szCs w:val="24"/>
        </w:rPr>
        <w:t>(3), 221.</w:t>
      </w:r>
    </w:p>
    <w:p w14:paraId="71B968BC">
      <w:pPr>
        <w:spacing w:before="240" w:after="0" w:line="240" w:lineRule="auto"/>
        <w:ind w:left="720" w:hanging="720"/>
        <w:jc w:val="both"/>
        <w:rPr>
          <w:rFonts w:ascii="Times New Roman" w:hAnsi="Times New Roman" w:eastAsia="Times New Roman" w:cs="Times New Roman"/>
          <w:sz w:val="24"/>
          <w:szCs w:val="24"/>
        </w:rPr>
      </w:pPr>
      <w:bookmarkStart w:id="83" w:name="_Hlk214590859"/>
      <w:r>
        <w:rPr>
          <w:rFonts w:ascii="Times New Roman" w:hAnsi="Times New Roman" w:eastAsia="Times New Roman" w:cs="Times New Roman"/>
          <w:sz w:val="24"/>
          <w:szCs w:val="24"/>
        </w:rPr>
        <w:t xml:space="preserve">Gauba, A., &amp; Rahman, K. M. (2023). </w:t>
      </w:r>
      <w:bookmarkEnd w:id="83"/>
      <w:r>
        <w:rPr>
          <w:rFonts w:ascii="Times New Roman" w:hAnsi="Times New Roman" w:eastAsia="Times New Roman" w:cs="Times New Roman"/>
          <w:sz w:val="24"/>
          <w:szCs w:val="24"/>
        </w:rPr>
        <w:t xml:space="preserve">Evaluation of antibiotic resistance mechanisms in gram-negative bacteria. </w:t>
      </w:r>
      <w:r>
        <w:rPr>
          <w:rFonts w:ascii="Times New Roman" w:hAnsi="Times New Roman" w:eastAsia="Times New Roman" w:cs="Times New Roman"/>
          <w:i/>
          <w:iCs/>
          <w:sz w:val="24"/>
          <w:szCs w:val="24"/>
        </w:rPr>
        <w:t>Antibiotics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12</w:t>
      </w:r>
      <w:r>
        <w:rPr>
          <w:rFonts w:ascii="Times New Roman" w:hAnsi="Times New Roman" w:eastAsia="Times New Roman" w:cs="Times New Roman"/>
          <w:sz w:val="24"/>
          <w:szCs w:val="24"/>
        </w:rPr>
        <w:t>(11), 1590.</w:t>
      </w:r>
    </w:p>
    <w:p w14:paraId="70F3E4C3">
      <w:pPr>
        <w:spacing w:before="240" w:after="100" w:afterAutospacing="1"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Ghosh, S., Roy, P., &amp; Saha, R. (2022). Mechanisms of antibacterial action of plant-derived bioactive compounds. </w:t>
      </w:r>
      <w:r>
        <w:rPr>
          <w:rFonts w:ascii="Times New Roman" w:hAnsi="Times New Roman" w:eastAsia="Times New Roman" w:cs="Times New Roman"/>
          <w:i/>
          <w:iCs/>
          <w:sz w:val="24"/>
          <w:szCs w:val="24"/>
        </w:rPr>
        <w:t>Pharmacognosy Reviews</w:t>
      </w:r>
      <w:r>
        <w:rPr>
          <w:rFonts w:ascii="Times New Roman" w:hAnsi="Times New Roman" w:eastAsia="Times New Roman" w:cs="Times New Roman"/>
          <w:sz w:val="24"/>
          <w:szCs w:val="24"/>
        </w:rPr>
        <w:t>, 16(31), 53–62.</w:t>
      </w:r>
    </w:p>
    <w:p w14:paraId="579BFF67">
      <w:pPr>
        <w:spacing w:before="240" w:after="0" w:line="240" w:lineRule="auto"/>
        <w:ind w:left="720" w:hanging="720"/>
        <w:jc w:val="both"/>
        <w:rPr>
          <w:rFonts w:ascii="Times New Roman" w:hAnsi="Times New Roman" w:eastAsia="Times New Roman" w:cs="Times New Roman"/>
          <w:sz w:val="24"/>
          <w:szCs w:val="24"/>
        </w:rPr>
      </w:pPr>
      <w:bookmarkStart w:id="84" w:name="_Hlk214592699"/>
      <w:r>
        <w:rPr>
          <w:rFonts w:ascii="Times New Roman" w:hAnsi="Times New Roman" w:eastAsia="Times New Roman" w:cs="Times New Roman"/>
          <w:sz w:val="24"/>
          <w:szCs w:val="24"/>
        </w:rPr>
        <w:t>Guchait</w:t>
      </w:r>
      <w:bookmarkEnd w:id="84"/>
      <w:r>
        <w:rPr>
          <w:rFonts w:ascii="Times New Roman" w:hAnsi="Times New Roman" w:eastAsia="Times New Roman" w:cs="Times New Roman"/>
          <w:sz w:val="24"/>
          <w:szCs w:val="24"/>
        </w:rPr>
        <w:t xml:space="preserve">, A., Kumar, A., Singh, R., Joshi, G., &amp; Dwivedi, A. R. (2023). A review on reported phytochemicals as druggable leads with antimalarial potential. </w:t>
      </w:r>
      <w:r>
        <w:rPr>
          <w:rFonts w:ascii="Times New Roman" w:hAnsi="Times New Roman" w:eastAsia="Times New Roman" w:cs="Times New Roman"/>
          <w:i/>
          <w:iCs/>
          <w:sz w:val="24"/>
          <w:szCs w:val="24"/>
        </w:rPr>
        <w:t>Medicinal Chemistry Research</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32</w:t>
      </w:r>
      <w:r>
        <w:rPr>
          <w:rFonts w:ascii="Times New Roman" w:hAnsi="Times New Roman" w:eastAsia="Times New Roman" w:cs="Times New Roman"/>
          <w:sz w:val="24"/>
          <w:szCs w:val="24"/>
        </w:rPr>
        <w:t>(8), 1633-1657.</w:t>
      </w:r>
    </w:p>
    <w:p w14:paraId="16A20848">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Halilu, E. M. (2024). Characterization of crude saponins from stem bark extract of Parinari curatellifolia and evaluation of its antioxidant and antibacterial activities. </w:t>
      </w:r>
      <w:r>
        <w:rPr>
          <w:rFonts w:ascii="Times New Roman" w:hAnsi="Times New Roman" w:eastAsia="Times New Roman" w:cs="Times New Roman"/>
          <w:i/>
          <w:iCs/>
          <w:sz w:val="24"/>
          <w:szCs w:val="24"/>
        </w:rPr>
        <w:t>Physical Sciences Reviews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9</w:t>
      </w:r>
      <w:r>
        <w:rPr>
          <w:rFonts w:ascii="Times New Roman" w:hAnsi="Times New Roman" w:eastAsia="Times New Roman" w:cs="Times New Roman"/>
          <w:sz w:val="24"/>
          <w:szCs w:val="24"/>
        </w:rPr>
        <w:t>(5), 2077-2095.</w:t>
      </w:r>
    </w:p>
    <w:p w14:paraId="61248147">
      <w:pPr>
        <w:spacing w:before="240" w:after="0" w:line="240" w:lineRule="auto"/>
        <w:ind w:left="720" w:hanging="720"/>
        <w:jc w:val="both"/>
        <w:rPr>
          <w:rFonts w:ascii="Times New Roman" w:hAnsi="Times New Roman" w:eastAsia="Times New Roman" w:cs="Times New Roman"/>
          <w:sz w:val="24"/>
          <w:szCs w:val="24"/>
        </w:rPr>
      </w:pPr>
      <w:bookmarkStart w:id="85" w:name="_Hlk214593797"/>
      <w:r>
        <w:rPr>
          <w:rFonts w:ascii="Times New Roman" w:hAnsi="Times New Roman" w:eastAsia="Times New Roman" w:cs="Times New Roman"/>
          <w:sz w:val="24"/>
          <w:szCs w:val="24"/>
        </w:rPr>
        <w:t xml:space="preserve">Herman, A., &amp; Herman, A. P. (2023). </w:t>
      </w:r>
      <w:bookmarkEnd w:id="85"/>
      <w:r>
        <w:rPr>
          <w:rFonts w:ascii="Times New Roman" w:hAnsi="Times New Roman" w:eastAsia="Times New Roman" w:cs="Times New Roman"/>
          <w:sz w:val="24"/>
          <w:szCs w:val="24"/>
        </w:rPr>
        <w:t xml:space="preserve">Herbal products and their active constituents used alone and in combination with antibiotics against multidrug-resistant bacteria. </w:t>
      </w:r>
      <w:r>
        <w:rPr>
          <w:rFonts w:ascii="Times New Roman" w:hAnsi="Times New Roman" w:eastAsia="Times New Roman" w:cs="Times New Roman"/>
          <w:i/>
          <w:iCs/>
          <w:sz w:val="24"/>
          <w:szCs w:val="24"/>
        </w:rPr>
        <w:t>Planta Medica</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89</w:t>
      </w:r>
      <w:r>
        <w:rPr>
          <w:rFonts w:ascii="Times New Roman" w:hAnsi="Times New Roman" w:eastAsia="Times New Roman" w:cs="Times New Roman"/>
          <w:sz w:val="24"/>
          <w:szCs w:val="24"/>
        </w:rPr>
        <w:t>(02), 168-182.</w:t>
      </w:r>
    </w:p>
    <w:p w14:paraId="508079CD">
      <w:pPr>
        <w:spacing w:before="240" w:after="0" w:line="240" w:lineRule="auto"/>
        <w:ind w:left="720" w:hanging="720"/>
        <w:jc w:val="both"/>
        <w:rPr>
          <w:rFonts w:ascii="Times New Roman" w:hAnsi="Times New Roman" w:eastAsia="Times New Roman" w:cs="Times New Roman"/>
          <w:sz w:val="24"/>
          <w:szCs w:val="24"/>
        </w:rPr>
      </w:pPr>
      <w:bookmarkStart w:id="86" w:name="_Hlk214666949"/>
      <w:r>
        <w:rPr>
          <w:rFonts w:ascii="Times New Roman" w:hAnsi="Times New Roman" w:eastAsia="Times New Roman" w:cs="Times New Roman"/>
          <w:sz w:val="24"/>
          <w:szCs w:val="24"/>
        </w:rPr>
        <w:t>Jadhav</w:t>
      </w:r>
      <w:bookmarkEnd w:id="86"/>
      <w:r>
        <w:rPr>
          <w:rFonts w:ascii="Times New Roman" w:hAnsi="Times New Roman" w:eastAsia="Times New Roman" w:cs="Times New Roman"/>
          <w:sz w:val="24"/>
          <w:szCs w:val="24"/>
        </w:rPr>
        <w:t xml:space="preserve">, M. M., Chhajed, M., &amp; Saluja, M. S. (2021). Phytochemical, pharmacological investigation and isolation of various extracts fractions of Ficus benjamina leaves. </w:t>
      </w:r>
      <w:r>
        <w:rPr>
          <w:rFonts w:ascii="Times New Roman" w:hAnsi="Times New Roman" w:eastAsia="Times New Roman" w:cs="Times New Roman"/>
          <w:i/>
          <w:iCs/>
          <w:sz w:val="24"/>
          <w:szCs w:val="24"/>
        </w:rPr>
        <w:t>NeuroQuantology</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19</w:t>
      </w:r>
      <w:r>
        <w:rPr>
          <w:rFonts w:ascii="Times New Roman" w:hAnsi="Times New Roman" w:eastAsia="Times New Roman" w:cs="Times New Roman"/>
          <w:sz w:val="24"/>
          <w:szCs w:val="24"/>
        </w:rPr>
        <w:t>(11), 401.</w:t>
      </w:r>
    </w:p>
    <w:p w14:paraId="6BCD94B9">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Kariuki, S., Kering, K., Wairimu, C., Onsare, R., &amp; Mbae, C. (2022). Antimicrobial resistance rates and surveillance in sub-Saharan Africa: where are we now?. </w:t>
      </w:r>
      <w:r>
        <w:rPr>
          <w:rFonts w:ascii="Times New Roman" w:hAnsi="Times New Roman" w:eastAsia="Times New Roman" w:cs="Times New Roman"/>
          <w:i/>
          <w:iCs/>
          <w:sz w:val="24"/>
          <w:szCs w:val="24"/>
        </w:rPr>
        <w:t>Infection and drug resistance</w:t>
      </w:r>
      <w:r>
        <w:rPr>
          <w:rFonts w:ascii="Times New Roman" w:hAnsi="Times New Roman" w:eastAsia="Times New Roman" w:cs="Times New Roman"/>
          <w:sz w:val="24"/>
          <w:szCs w:val="24"/>
        </w:rPr>
        <w:t>, 3589-3609.</w:t>
      </w:r>
    </w:p>
    <w:p w14:paraId="48CF6296">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Karonen, M. (2022). Insights into polyphenol–lipid interactions: Chemical methods, molecular aspects and their effects on membrane structures. </w:t>
      </w:r>
      <w:r>
        <w:rPr>
          <w:rFonts w:ascii="Times New Roman" w:hAnsi="Times New Roman" w:eastAsia="Times New Roman" w:cs="Times New Roman"/>
          <w:i/>
          <w:iCs/>
          <w:sz w:val="24"/>
          <w:szCs w:val="24"/>
        </w:rPr>
        <w:t>Plants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11</w:t>
      </w:r>
      <w:r>
        <w:rPr>
          <w:rFonts w:ascii="Times New Roman" w:hAnsi="Times New Roman" w:eastAsia="Times New Roman" w:cs="Times New Roman"/>
          <w:sz w:val="24"/>
          <w:szCs w:val="24"/>
        </w:rPr>
        <w:t>(14), 1809.</w:t>
      </w:r>
    </w:p>
    <w:p w14:paraId="5705E530">
      <w:pPr>
        <w:spacing w:before="240" w:after="0" w:line="240" w:lineRule="auto"/>
        <w:ind w:left="720" w:hanging="720"/>
        <w:jc w:val="both"/>
        <w:rPr>
          <w:rFonts w:ascii="Times New Roman" w:hAnsi="Times New Roman" w:eastAsia="Times New Roman" w:cs="Times New Roman"/>
          <w:sz w:val="24"/>
          <w:szCs w:val="24"/>
        </w:rPr>
      </w:pPr>
      <w:bookmarkStart w:id="87" w:name="_Hlk214665862"/>
      <w:r>
        <w:rPr>
          <w:rFonts w:ascii="Times New Roman" w:hAnsi="Times New Roman" w:eastAsia="Times New Roman" w:cs="Times New Roman"/>
          <w:sz w:val="24"/>
          <w:szCs w:val="24"/>
        </w:rPr>
        <w:t xml:space="preserve">Kebede, </w:t>
      </w:r>
      <w:bookmarkEnd w:id="87"/>
      <w:r>
        <w:rPr>
          <w:rFonts w:ascii="Times New Roman" w:hAnsi="Times New Roman" w:eastAsia="Times New Roman" w:cs="Times New Roman"/>
          <w:sz w:val="24"/>
          <w:szCs w:val="24"/>
        </w:rPr>
        <w:t xml:space="preserve">T., Gadisa, E., &amp; Tufa, A. (2021). Antimicrobial activities evaluation and phytochemical screening of some selected medicinal plants: A possible alternative in the treatment of multidrug-resistant microbes. </w:t>
      </w:r>
      <w:r>
        <w:rPr>
          <w:rFonts w:ascii="Times New Roman" w:hAnsi="Times New Roman" w:eastAsia="Times New Roman" w:cs="Times New Roman"/>
          <w:i/>
          <w:iCs/>
          <w:sz w:val="24"/>
          <w:szCs w:val="24"/>
        </w:rPr>
        <w:t>PloS one</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16</w:t>
      </w:r>
      <w:r>
        <w:rPr>
          <w:rFonts w:ascii="Times New Roman" w:hAnsi="Times New Roman" w:eastAsia="Times New Roman" w:cs="Times New Roman"/>
          <w:sz w:val="24"/>
          <w:szCs w:val="24"/>
        </w:rPr>
        <w:t>(3), e0249253.</w:t>
      </w:r>
    </w:p>
    <w:p w14:paraId="18365455">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Khataniar, A., Das, A., &amp; Saikia, R. (2025). Bioactivity profiling of Schefflera venulosa (Wight &amp; Arn.) Harms leaf extracts: insights into antibacterial, antioxidant, and anti-inflammatory potentials. </w:t>
      </w:r>
      <w:r>
        <w:rPr>
          <w:rFonts w:ascii="Times New Roman" w:hAnsi="Times New Roman" w:eastAsia="Times New Roman" w:cs="Times New Roman"/>
          <w:i/>
          <w:iCs/>
          <w:sz w:val="24"/>
          <w:szCs w:val="24"/>
        </w:rPr>
        <w:t>Vegetos</w:t>
      </w:r>
      <w:r>
        <w:rPr>
          <w:rFonts w:ascii="Times New Roman" w:hAnsi="Times New Roman" w:eastAsia="Times New Roman" w:cs="Times New Roman"/>
          <w:sz w:val="24"/>
          <w:szCs w:val="24"/>
        </w:rPr>
        <w:t>, 1-15.</w:t>
      </w:r>
    </w:p>
    <w:p w14:paraId="774DF7F3">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Liu, Y., Zhu, J., Liu, Z., Zhi, Y., Mei, C., &amp; Wang, H. (2025). Flavonoids as promising natural compounds for combating bacterial infections. </w:t>
      </w:r>
      <w:r>
        <w:rPr>
          <w:rFonts w:ascii="Times New Roman" w:hAnsi="Times New Roman" w:eastAsia="Times New Roman" w:cs="Times New Roman"/>
          <w:i/>
          <w:iCs/>
          <w:sz w:val="24"/>
          <w:szCs w:val="24"/>
        </w:rPr>
        <w:t>International Journal of Molecular Sciences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26</w:t>
      </w:r>
      <w:r>
        <w:rPr>
          <w:rFonts w:ascii="Times New Roman" w:hAnsi="Times New Roman" w:eastAsia="Times New Roman" w:cs="Times New Roman"/>
          <w:sz w:val="24"/>
          <w:szCs w:val="24"/>
        </w:rPr>
        <w:t>(6), 2455.</w:t>
      </w:r>
    </w:p>
    <w:p w14:paraId="052E1287">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Mahesh, P. P., Kolape, J., Sultana, H., &amp; Neelakanta, G. (2025). McFarland standards-based spectrophotometry method for calculating approximate multiplicity of infection for an obligate intracellular bacterium Anaplasma phagocytophilum. </w:t>
      </w:r>
      <w:r>
        <w:rPr>
          <w:rFonts w:ascii="Times New Roman" w:hAnsi="Times New Roman" w:eastAsia="Times New Roman" w:cs="Times New Roman"/>
          <w:i/>
          <w:iCs/>
          <w:sz w:val="24"/>
          <w:szCs w:val="24"/>
        </w:rPr>
        <w:t>Microorganisms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13</w:t>
      </w:r>
      <w:r>
        <w:rPr>
          <w:rFonts w:ascii="Times New Roman" w:hAnsi="Times New Roman" w:eastAsia="Times New Roman" w:cs="Times New Roman"/>
          <w:sz w:val="24"/>
          <w:szCs w:val="24"/>
        </w:rPr>
        <w:t>(3), 662.</w:t>
      </w:r>
    </w:p>
    <w:p w14:paraId="53897239">
      <w:pPr>
        <w:spacing w:before="240" w:after="0" w:line="240" w:lineRule="auto"/>
        <w:ind w:left="720" w:hanging="720"/>
        <w:jc w:val="both"/>
        <w:rPr>
          <w:rFonts w:ascii="Times New Roman" w:hAnsi="Times New Roman" w:eastAsia="Times New Roman" w:cs="Times New Roman"/>
          <w:sz w:val="24"/>
          <w:szCs w:val="24"/>
        </w:rPr>
      </w:pPr>
      <w:bookmarkStart w:id="88" w:name="_Hlk214665389"/>
      <w:r>
        <w:rPr>
          <w:rFonts w:ascii="Times New Roman" w:hAnsi="Times New Roman" w:eastAsia="Times New Roman" w:cs="Times New Roman"/>
          <w:sz w:val="24"/>
          <w:szCs w:val="24"/>
        </w:rPr>
        <w:t>Makarewicz</w:t>
      </w:r>
      <w:bookmarkEnd w:id="88"/>
      <w:r>
        <w:rPr>
          <w:rFonts w:ascii="Times New Roman" w:hAnsi="Times New Roman" w:eastAsia="Times New Roman" w:cs="Times New Roman"/>
          <w:sz w:val="24"/>
          <w:szCs w:val="24"/>
        </w:rPr>
        <w:t xml:space="preserve">, M., Drożdż, I., Tarko, T., &amp; Duda-Chodak, A. (2021). The interactions between polyphenols and microorganisms, especially gut microbiota. </w:t>
      </w:r>
      <w:r>
        <w:rPr>
          <w:rFonts w:ascii="Times New Roman" w:hAnsi="Times New Roman" w:eastAsia="Times New Roman" w:cs="Times New Roman"/>
          <w:i/>
          <w:iCs/>
          <w:sz w:val="24"/>
          <w:szCs w:val="24"/>
        </w:rPr>
        <w:t>Antioxidants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10</w:t>
      </w:r>
      <w:r>
        <w:rPr>
          <w:rFonts w:ascii="Times New Roman" w:hAnsi="Times New Roman" w:eastAsia="Times New Roman" w:cs="Times New Roman"/>
          <w:sz w:val="24"/>
          <w:szCs w:val="24"/>
        </w:rPr>
        <w:t>(2), 188.</w:t>
      </w:r>
    </w:p>
    <w:p w14:paraId="5AEFE2DA">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Maļeckis, A., Cvetinska, M., Kirjušina, M., Mežaraupe, L., Kecko, S., Gavarāne, I., ... &amp; Kirilova, E. (2024). A Comparative study of new fluorescent anthraquinone and benzanthrone α-aminophosphonates: synthesis, spectroscopy, toxicology, x-ray crystallography, and microscopy of opisthorchis felineus. </w:t>
      </w:r>
      <w:r>
        <w:rPr>
          <w:rFonts w:ascii="Times New Roman" w:hAnsi="Times New Roman" w:eastAsia="Times New Roman" w:cs="Times New Roman"/>
          <w:i/>
          <w:iCs/>
          <w:sz w:val="24"/>
          <w:szCs w:val="24"/>
        </w:rPr>
        <w:t>Molecules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29</w:t>
      </w:r>
      <w:r>
        <w:rPr>
          <w:rFonts w:ascii="Times New Roman" w:hAnsi="Times New Roman" w:eastAsia="Times New Roman" w:cs="Times New Roman"/>
          <w:sz w:val="24"/>
          <w:szCs w:val="24"/>
        </w:rPr>
        <w:t>(5), 1143.</w:t>
      </w:r>
    </w:p>
    <w:p w14:paraId="3FDE9F7C">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Mariia, V. A., Ruban, O. A., Khalavka, M. V., &amp; Hohlova, L. O. (2021). Research of the choice of the basis of a semi-solid medicine with a semi-solid extract of feverfew (Tanacetum parthenium).</w:t>
      </w:r>
    </w:p>
    <w:p w14:paraId="5A992D2A">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Melkamu, W. W., &amp; Bitew, L. T. (2021). Green synthesis of silver nanoparticles using Hagenia abyssinica (Bruce) JF Gmel plant leaf extract and their antibacterial and anti-oxidant activities. </w:t>
      </w:r>
      <w:r>
        <w:rPr>
          <w:rFonts w:ascii="Times New Roman" w:hAnsi="Times New Roman" w:eastAsia="Times New Roman" w:cs="Times New Roman"/>
          <w:i/>
          <w:iCs/>
          <w:sz w:val="24"/>
          <w:szCs w:val="24"/>
        </w:rPr>
        <w:t>Heliyon</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7</w:t>
      </w:r>
      <w:r>
        <w:rPr>
          <w:rFonts w:ascii="Times New Roman" w:hAnsi="Times New Roman" w:eastAsia="Times New Roman" w:cs="Times New Roman"/>
          <w:sz w:val="24"/>
          <w:szCs w:val="24"/>
        </w:rPr>
        <w:t>(11).</w:t>
      </w:r>
    </w:p>
    <w:p w14:paraId="41668B49">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Muteeb, G., Rehman, M. T., Shahwan, M., &amp; Aatif, M. (2023). Origin of antibiotics and antibiotic resistance, and their impacts on drug development: A narrative review. </w:t>
      </w:r>
      <w:r>
        <w:rPr>
          <w:rFonts w:ascii="Times New Roman" w:hAnsi="Times New Roman" w:eastAsia="Times New Roman" w:cs="Times New Roman"/>
          <w:i/>
          <w:iCs/>
          <w:sz w:val="24"/>
          <w:szCs w:val="24"/>
        </w:rPr>
        <w:t>Pharmaceuticals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16</w:t>
      </w:r>
      <w:r>
        <w:rPr>
          <w:rFonts w:ascii="Times New Roman" w:hAnsi="Times New Roman" w:eastAsia="Times New Roman" w:cs="Times New Roman"/>
          <w:sz w:val="24"/>
          <w:szCs w:val="24"/>
        </w:rPr>
        <w:t>(11), 1615.</w:t>
      </w:r>
    </w:p>
    <w:p w14:paraId="15FA3FFF">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Napagoda, M., &amp; Wijesundara, D. (2022). Medicinal plants as sources of novel therapeutics: The history, present, and future. </w:t>
      </w:r>
      <w:r>
        <w:rPr>
          <w:rFonts w:ascii="Times New Roman" w:hAnsi="Times New Roman" w:eastAsia="Times New Roman" w:cs="Times New Roman"/>
          <w:i/>
          <w:iCs/>
          <w:sz w:val="24"/>
          <w:szCs w:val="24"/>
        </w:rPr>
        <w:t>Chem. Nat. Prod. Phytochem. Pharm. Med. Plants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3</w:t>
      </w:r>
      <w:r>
        <w:rPr>
          <w:rFonts w:ascii="Times New Roman" w:hAnsi="Times New Roman" w:eastAsia="Times New Roman" w:cs="Times New Roman"/>
          <w:sz w:val="24"/>
          <w:szCs w:val="24"/>
        </w:rPr>
        <w:t>, 4-18.</w:t>
      </w:r>
    </w:p>
    <w:p w14:paraId="3C75D043">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Obiang, C. S., Mba, T. N., Misso, R. L. N. M., Bourdette, J. O. O., Ondo, J. P., Atome, G. R. N., ... &amp; Emvo, E. N. (2022). Ethnopharmacological Study and Antibacterial Activities of Some Plants Used in Traditional Medicine for the Treatment of Diarrheal Diseases in Gabon. </w:t>
      </w:r>
      <w:r>
        <w:rPr>
          <w:rFonts w:ascii="Times New Roman" w:hAnsi="Times New Roman" w:eastAsia="Times New Roman" w:cs="Times New Roman"/>
          <w:i/>
          <w:iCs/>
          <w:sz w:val="24"/>
          <w:szCs w:val="24"/>
        </w:rPr>
        <w:t>Traditional and Integrative Medicine</w:t>
      </w:r>
      <w:r>
        <w:rPr>
          <w:rFonts w:ascii="Times New Roman" w:hAnsi="Times New Roman" w:eastAsia="Times New Roman" w:cs="Times New Roman"/>
          <w:sz w:val="24"/>
          <w:szCs w:val="24"/>
        </w:rPr>
        <w:t>, 386-401.</w:t>
      </w:r>
    </w:p>
    <w:p w14:paraId="0EC35DC7">
      <w:pPr>
        <w:spacing w:before="240" w:after="0" w:line="240" w:lineRule="auto"/>
        <w:ind w:left="720" w:hanging="720"/>
        <w:jc w:val="both"/>
        <w:rPr>
          <w:rFonts w:ascii="Times New Roman" w:hAnsi="Times New Roman" w:eastAsia="Times New Roman" w:cs="Times New Roman"/>
          <w:sz w:val="24"/>
          <w:szCs w:val="24"/>
        </w:rPr>
      </w:pPr>
      <w:bookmarkStart w:id="89" w:name="_Hlk214594002"/>
      <w:r>
        <w:rPr>
          <w:rFonts w:ascii="Times New Roman" w:hAnsi="Times New Roman" w:eastAsia="Times New Roman" w:cs="Times New Roman"/>
          <w:sz w:val="24"/>
          <w:szCs w:val="24"/>
        </w:rPr>
        <w:t>Ousmane</w:t>
      </w:r>
      <w:bookmarkEnd w:id="89"/>
      <w:r>
        <w:rPr>
          <w:rFonts w:ascii="Times New Roman" w:hAnsi="Times New Roman" w:eastAsia="Times New Roman" w:cs="Times New Roman"/>
          <w:sz w:val="24"/>
          <w:szCs w:val="24"/>
        </w:rPr>
        <w:t xml:space="preserve">, A. R., Inoussa, M. M., Ibrahim, M. L. A., Moussa, A. A., &amp; Bakasso, Y. (2023). Socio-economic values and ecological importance of Balanites aegyptiaca (L.) del. In sahelian agrosystems in western Niger. </w:t>
      </w:r>
      <w:r>
        <w:rPr>
          <w:rFonts w:ascii="Times New Roman" w:hAnsi="Times New Roman" w:eastAsia="Times New Roman" w:cs="Times New Roman"/>
          <w:i/>
          <w:iCs/>
          <w:sz w:val="24"/>
          <w:szCs w:val="24"/>
        </w:rPr>
        <w:t>International Journal of Applied Science</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6</w:t>
      </w:r>
      <w:r>
        <w:rPr>
          <w:rFonts w:ascii="Times New Roman" w:hAnsi="Times New Roman" w:eastAsia="Times New Roman" w:cs="Times New Roman"/>
          <w:sz w:val="24"/>
          <w:szCs w:val="24"/>
        </w:rPr>
        <w:t>(2), p9-p9.</w:t>
      </w:r>
    </w:p>
    <w:p w14:paraId="77F1610C">
      <w:pPr>
        <w:spacing w:before="240" w:after="0" w:line="240" w:lineRule="auto"/>
        <w:ind w:left="720" w:hanging="720"/>
        <w:jc w:val="both"/>
        <w:rPr>
          <w:rFonts w:ascii="Times New Roman" w:hAnsi="Times New Roman" w:eastAsia="Times New Roman" w:cs="Times New Roman"/>
          <w:sz w:val="24"/>
          <w:szCs w:val="24"/>
        </w:rPr>
      </w:pPr>
      <w:bookmarkStart w:id="90" w:name="_Hlk214590684"/>
      <w:r>
        <w:rPr>
          <w:rFonts w:ascii="Times New Roman" w:hAnsi="Times New Roman" w:eastAsia="Times New Roman" w:cs="Times New Roman"/>
          <w:sz w:val="24"/>
          <w:szCs w:val="24"/>
        </w:rPr>
        <w:t>Patil, S. M., &amp; Patel, P. (2021</w:t>
      </w:r>
      <w:bookmarkEnd w:id="90"/>
      <w:r>
        <w:rPr>
          <w:rFonts w:ascii="Times New Roman" w:hAnsi="Times New Roman" w:eastAsia="Times New Roman" w:cs="Times New Roman"/>
          <w:sz w:val="24"/>
          <w:szCs w:val="24"/>
        </w:rPr>
        <w:t xml:space="preserve">). Bactericidal and Bacteriostatic. </w:t>
      </w:r>
      <w:r>
        <w:rPr>
          <w:rFonts w:ascii="Times New Roman" w:hAnsi="Times New Roman" w:eastAsia="Times New Roman" w:cs="Times New Roman"/>
          <w:i/>
          <w:iCs/>
          <w:sz w:val="24"/>
          <w:szCs w:val="24"/>
        </w:rPr>
        <w:t>Infections and sepsis development</w:t>
      </w:r>
      <w:r>
        <w:rPr>
          <w:rFonts w:ascii="Times New Roman" w:hAnsi="Times New Roman" w:eastAsia="Times New Roman" w:cs="Times New Roman"/>
          <w:sz w:val="24"/>
          <w:szCs w:val="24"/>
        </w:rPr>
        <w:t>, 3.</w:t>
      </w:r>
    </w:p>
    <w:p w14:paraId="02250DB0">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Pikhtirova, A., Pecka-Kiełb, E., &amp; Zigo, F. (2023). Antimicrobial activity of saponin-containing plants: review. </w:t>
      </w:r>
      <w:r>
        <w:rPr>
          <w:rFonts w:ascii="Times New Roman" w:hAnsi="Times New Roman" w:eastAsia="Times New Roman" w:cs="Times New Roman"/>
          <w:i/>
          <w:iCs/>
          <w:sz w:val="24"/>
          <w:szCs w:val="24"/>
        </w:rPr>
        <w:t>J. Dairy Vet. Anim. Res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2</w:t>
      </w:r>
      <w:r>
        <w:rPr>
          <w:rFonts w:ascii="Times New Roman" w:hAnsi="Times New Roman" w:eastAsia="Times New Roman" w:cs="Times New Roman"/>
          <w:sz w:val="24"/>
          <w:szCs w:val="24"/>
        </w:rPr>
        <w:t>, 121-127.</w:t>
      </w:r>
    </w:p>
    <w:p w14:paraId="628AC405">
      <w:pPr>
        <w:spacing w:before="240" w:after="0" w:line="240" w:lineRule="auto"/>
        <w:ind w:left="720" w:hanging="720"/>
        <w:jc w:val="both"/>
        <w:rPr>
          <w:rFonts w:ascii="Times New Roman" w:hAnsi="Times New Roman" w:eastAsia="Times New Roman" w:cs="Times New Roman"/>
          <w:sz w:val="24"/>
          <w:szCs w:val="24"/>
        </w:rPr>
      </w:pPr>
      <w:bookmarkStart w:id="91" w:name="_Hlk214592800"/>
      <w:r>
        <w:rPr>
          <w:rFonts w:ascii="Times New Roman" w:hAnsi="Times New Roman" w:eastAsia="Times New Roman" w:cs="Times New Roman"/>
          <w:sz w:val="24"/>
          <w:szCs w:val="24"/>
        </w:rPr>
        <w:t>Rahman,</w:t>
      </w:r>
      <w:bookmarkEnd w:id="91"/>
      <w:r>
        <w:rPr>
          <w:rFonts w:ascii="Times New Roman" w:hAnsi="Times New Roman" w:eastAsia="Times New Roman" w:cs="Times New Roman"/>
          <w:sz w:val="24"/>
          <w:szCs w:val="24"/>
        </w:rPr>
        <w:t xml:space="preserve"> M. M., Rahaman, M. S., Islam, M. R., Hossain, M. E., Mannan Mithi, F., Ahmed, M., ... &amp; Sobarzo-Sánchez, E. (2021). Multifunctional therapeutic potential of phytocomplexes and natural extracts for antimicrobial properties. </w:t>
      </w:r>
      <w:r>
        <w:rPr>
          <w:rFonts w:ascii="Times New Roman" w:hAnsi="Times New Roman" w:eastAsia="Times New Roman" w:cs="Times New Roman"/>
          <w:i/>
          <w:iCs/>
          <w:sz w:val="24"/>
          <w:szCs w:val="24"/>
        </w:rPr>
        <w:t>Antibiotics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10</w:t>
      </w:r>
      <w:r>
        <w:rPr>
          <w:rFonts w:ascii="Times New Roman" w:hAnsi="Times New Roman" w:eastAsia="Times New Roman" w:cs="Times New Roman"/>
          <w:sz w:val="24"/>
          <w:szCs w:val="24"/>
        </w:rPr>
        <w:t>(9), 1076.</w:t>
      </w:r>
    </w:p>
    <w:p w14:paraId="008EDEAC">
      <w:pPr>
        <w:spacing w:before="240" w:after="100" w:afterAutospacing="1"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Rahman, S. M., Uddin, M. J., &amp; Chakraborty, A. (2021). Antimicrobial actions of phytochemicals: Mechanistic insights and therapeutic prospects. </w:t>
      </w:r>
      <w:r>
        <w:rPr>
          <w:rFonts w:ascii="Times New Roman" w:hAnsi="Times New Roman" w:eastAsia="Times New Roman" w:cs="Times New Roman"/>
          <w:i/>
          <w:iCs/>
          <w:sz w:val="24"/>
          <w:szCs w:val="24"/>
        </w:rPr>
        <w:t>Journal of Herbal Medicine</w:t>
      </w:r>
      <w:r>
        <w:rPr>
          <w:rFonts w:ascii="Times New Roman" w:hAnsi="Times New Roman" w:eastAsia="Times New Roman" w:cs="Times New Roman"/>
          <w:sz w:val="24"/>
          <w:szCs w:val="24"/>
        </w:rPr>
        <w:t>, 28, 100438.</w:t>
      </w:r>
    </w:p>
    <w:p w14:paraId="0401115A">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Roy, S., Mandal, B., &amp; Das, B. K. (2025). Ensuring Precision, Reliability, and Compliance. </w:t>
      </w:r>
      <w:r>
        <w:rPr>
          <w:rFonts w:ascii="Times New Roman" w:hAnsi="Times New Roman" w:eastAsia="Times New Roman" w:cs="Times New Roman"/>
          <w:i/>
          <w:iCs/>
          <w:sz w:val="24"/>
          <w:szCs w:val="24"/>
        </w:rPr>
        <w:t>Laboratory Techniques for Fish Disease Diagnosis</w:t>
      </w:r>
      <w:r>
        <w:rPr>
          <w:rFonts w:ascii="Times New Roman" w:hAnsi="Times New Roman" w:eastAsia="Times New Roman" w:cs="Times New Roman"/>
          <w:sz w:val="24"/>
          <w:szCs w:val="24"/>
        </w:rPr>
        <w:t>, 79.</w:t>
      </w:r>
    </w:p>
    <w:p w14:paraId="38036B42">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Sakyi Opoku, N. Y. P., Mishra, A., Fletcher, H., Nizet, V., &amp; Abdul‐Mutakabbir, J. C. (2025). Enhancing antimicrobial susceptibility testing for acinetobacter baumannii using physiologically relevant culture media and biofilm formation assays. </w:t>
      </w:r>
      <w:r>
        <w:rPr>
          <w:rFonts w:ascii="Times New Roman" w:hAnsi="Times New Roman" w:eastAsia="Times New Roman" w:cs="Times New Roman"/>
          <w:i/>
          <w:iCs/>
          <w:sz w:val="24"/>
          <w:szCs w:val="24"/>
        </w:rPr>
        <w:t>Current Protocols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5</w:t>
      </w:r>
      <w:r>
        <w:rPr>
          <w:rFonts w:ascii="Times New Roman" w:hAnsi="Times New Roman" w:eastAsia="Times New Roman" w:cs="Times New Roman"/>
          <w:sz w:val="24"/>
          <w:szCs w:val="24"/>
        </w:rPr>
        <w:t>(9), e70207.</w:t>
      </w:r>
    </w:p>
    <w:p w14:paraId="7636A5D6">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Salam, M. A., Al-Amin, M. Y., Salam, M. T., Pawar, J. S., Akhter, N., Rabaan, A. A., &amp; Alqumber, M. A. (2023). Antimicrobial resistance: a growing serious threat for global public health. In </w:t>
      </w:r>
      <w:r>
        <w:rPr>
          <w:rFonts w:ascii="Times New Roman" w:hAnsi="Times New Roman" w:eastAsia="Times New Roman" w:cs="Times New Roman"/>
          <w:i/>
          <w:iCs/>
          <w:sz w:val="24"/>
          <w:szCs w:val="24"/>
        </w:rPr>
        <w:t>Healthcare</w:t>
      </w:r>
      <w:r>
        <w:rPr>
          <w:rFonts w:ascii="Times New Roman" w:hAnsi="Times New Roman" w:eastAsia="Times New Roman" w:cs="Times New Roman"/>
          <w:sz w:val="24"/>
          <w:szCs w:val="24"/>
        </w:rPr>
        <w:t xml:space="preserve"> (Vol. 11, No. 13, p. 1946). MDPI.</w:t>
      </w:r>
    </w:p>
    <w:p w14:paraId="2985020C">
      <w:pPr>
        <w:spacing w:before="240" w:after="0" w:line="240" w:lineRule="auto"/>
        <w:ind w:left="720" w:hanging="720"/>
        <w:jc w:val="both"/>
        <w:rPr>
          <w:rFonts w:ascii="Times New Roman" w:hAnsi="Times New Roman" w:eastAsia="Times New Roman" w:cs="Times New Roman"/>
          <w:sz w:val="24"/>
          <w:szCs w:val="24"/>
        </w:rPr>
      </w:pPr>
      <w:bookmarkStart w:id="92" w:name="_Hlk214665621"/>
      <w:r>
        <w:rPr>
          <w:rFonts w:ascii="Times New Roman" w:hAnsi="Times New Roman" w:eastAsia="Times New Roman" w:cs="Times New Roman"/>
          <w:sz w:val="24"/>
          <w:szCs w:val="24"/>
        </w:rPr>
        <w:t>Schacter</w:t>
      </w:r>
      <w:bookmarkEnd w:id="92"/>
      <w:r>
        <w:rPr>
          <w:rFonts w:ascii="Times New Roman" w:hAnsi="Times New Roman" w:eastAsia="Times New Roman" w:cs="Times New Roman"/>
          <w:sz w:val="24"/>
          <w:szCs w:val="24"/>
        </w:rPr>
        <w:t xml:space="preserve">, H. L., Lessard, L. M., Kiperman, S., Bakth, F., Ehrhardt, A., &amp; Uganski, J. (2021). Can friendships protect against the health consequences of peer victimization in adolescence? A systematic review. </w:t>
      </w:r>
      <w:r>
        <w:rPr>
          <w:rFonts w:ascii="Times New Roman" w:hAnsi="Times New Roman" w:eastAsia="Times New Roman" w:cs="Times New Roman"/>
          <w:i/>
          <w:iCs/>
          <w:sz w:val="24"/>
          <w:szCs w:val="24"/>
        </w:rPr>
        <w:t>School Mental Health</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13</w:t>
      </w:r>
      <w:r>
        <w:rPr>
          <w:rFonts w:ascii="Times New Roman" w:hAnsi="Times New Roman" w:eastAsia="Times New Roman" w:cs="Times New Roman"/>
          <w:sz w:val="24"/>
          <w:szCs w:val="24"/>
        </w:rPr>
        <w:t>(3), 578-601.</w:t>
      </w:r>
    </w:p>
    <w:p w14:paraId="6EAC5136">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Senawong, K., Katekaew, S., Juntahum, S., &amp; Laloon, K. (2023). Impact of grinding and sorting particle size on phytochemical yield in Dipterocarpus alatus leaf extract. </w:t>
      </w:r>
      <w:r>
        <w:rPr>
          <w:rFonts w:ascii="Times New Roman" w:hAnsi="Times New Roman" w:eastAsia="Times New Roman" w:cs="Times New Roman"/>
          <w:i/>
          <w:iCs/>
          <w:sz w:val="24"/>
          <w:szCs w:val="24"/>
        </w:rPr>
        <w:t>International Journal of Biomaterials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2023</w:t>
      </w:r>
      <w:r>
        <w:rPr>
          <w:rFonts w:ascii="Times New Roman" w:hAnsi="Times New Roman" w:eastAsia="Times New Roman" w:cs="Times New Roman"/>
          <w:sz w:val="24"/>
          <w:szCs w:val="24"/>
        </w:rPr>
        <w:t>(1), 4512665.</w:t>
      </w:r>
    </w:p>
    <w:p w14:paraId="63B47010">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Sun, W., Shahrajabian, M. H., &amp; Cheng, Q. (2021). Fenugreek cultivation with emphasis on historical aspects and its uses in traditional medicine and modern pharmaceutical science. </w:t>
      </w:r>
      <w:r>
        <w:rPr>
          <w:rFonts w:ascii="Times New Roman" w:hAnsi="Times New Roman" w:eastAsia="Times New Roman" w:cs="Times New Roman"/>
          <w:i/>
          <w:iCs/>
          <w:sz w:val="24"/>
          <w:szCs w:val="24"/>
        </w:rPr>
        <w:t>Mini Reviews in Medicinal Chemistry</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21</w:t>
      </w:r>
      <w:r>
        <w:rPr>
          <w:rFonts w:ascii="Times New Roman" w:hAnsi="Times New Roman" w:eastAsia="Times New Roman" w:cs="Times New Roman"/>
          <w:sz w:val="24"/>
          <w:szCs w:val="24"/>
        </w:rPr>
        <w:t>(6), 724-730.</w:t>
      </w:r>
    </w:p>
    <w:p w14:paraId="1C3C01F0">
      <w:pPr>
        <w:spacing w:before="240" w:after="0" w:line="240" w:lineRule="auto"/>
        <w:ind w:left="720" w:hanging="720"/>
        <w:jc w:val="both"/>
        <w:rPr>
          <w:rFonts w:ascii="Times New Roman" w:hAnsi="Times New Roman" w:eastAsia="Times New Roman" w:cs="Times New Roman"/>
          <w:sz w:val="24"/>
          <w:szCs w:val="24"/>
        </w:rPr>
      </w:pPr>
      <w:bookmarkStart w:id="93" w:name="_Hlk214593131"/>
      <w:r>
        <w:rPr>
          <w:rFonts w:ascii="Times New Roman" w:hAnsi="Times New Roman" w:eastAsia="Times New Roman" w:cs="Times New Roman"/>
          <w:sz w:val="24"/>
          <w:szCs w:val="24"/>
        </w:rPr>
        <w:t>Suriyaprom</w:t>
      </w:r>
      <w:bookmarkEnd w:id="93"/>
      <w:r>
        <w:rPr>
          <w:rFonts w:ascii="Times New Roman" w:hAnsi="Times New Roman" w:eastAsia="Times New Roman" w:cs="Times New Roman"/>
          <w:sz w:val="24"/>
          <w:szCs w:val="24"/>
        </w:rPr>
        <w:t xml:space="preserve">, S., Mosoni, P., Leroy, S., Kaewkod, T., Desvaux, M., &amp; Tragoolpua, Y. (2022). Antioxidants of fruit extracts as antimicrobial agents against pathogenic bacteria. </w:t>
      </w:r>
      <w:r>
        <w:rPr>
          <w:rFonts w:ascii="Times New Roman" w:hAnsi="Times New Roman" w:eastAsia="Times New Roman" w:cs="Times New Roman"/>
          <w:i/>
          <w:iCs/>
          <w:sz w:val="24"/>
          <w:szCs w:val="24"/>
        </w:rPr>
        <w:t>Antioxidants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11</w:t>
      </w:r>
      <w:r>
        <w:rPr>
          <w:rFonts w:ascii="Times New Roman" w:hAnsi="Times New Roman" w:eastAsia="Times New Roman" w:cs="Times New Roman"/>
          <w:sz w:val="24"/>
          <w:szCs w:val="24"/>
        </w:rPr>
        <w:t>(3), 602.</w:t>
      </w:r>
    </w:p>
    <w:p w14:paraId="45230BC9">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Tang, K. W. K., Millar, B. C., &amp; Moore, J. E. (2023). Antimicrobial resistance (AMR). </w:t>
      </w:r>
      <w:r>
        <w:rPr>
          <w:rFonts w:ascii="Times New Roman" w:hAnsi="Times New Roman" w:eastAsia="Times New Roman" w:cs="Times New Roman"/>
          <w:i/>
          <w:iCs/>
          <w:sz w:val="24"/>
          <w:szCs w:val="24"/>
        </w:rPr>
        <w:t>British journal of biomedical science</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80</w:t>
      </w:r>
      <w:r>
        <w:rPr>
          <w:rFonts w:ascii="Times New Roman" w:hAnsi="Times New Roman" w:eastAsia="Times New Roman" w:cs="Times New Roman"/>
          <w:sz w:val="24"/>
          <w:szCs w:val="24"/>
        </w:rPr>
        <w:t>, 11387.</w:t>
      </w:r>
    </w:p>
    <w:p w14:paraId="6C87EF50">
      <w:pPr>
        <w:spacing w:before="240" w:after="0" w:line="240" w:lineRule="auto"/>
        <w:ind w:left="720" w:hanging="720"/>
        <w:jc w:val="both"/>
        <w:rPr>
          <w:rFonts w:ascii="Times New Roman" w:hAnsi="Times New Roman" w:eastAsia="Times New Roman" w:cs="Times New Roman"/>
          <w:sz w:val="24"/>
          <w:szCs w:val="24"/>
        </w:rPr>
      </w:pPr>
      <w:bookmarkStart w:id="94" w:name="_Hlk214590355"/>
      <w:r>
        <w:rPr>
          <w:rFonts w:ascii="Times New Roman" w:hAnsi="Times New Roman" w:eastAsia="Times New Roman" w:cs="Times New Roman"/>
          <w:sz w:val="24"/>
          <w:szCs w:val="24"/>
        </w:rPr>
        <w:t>Tauchen</w:t>
      </w:r>
      <w:bookmarkEnd w:id="94"/>
      <w:r>
        <w:rPr>
          <w:rFonts w:ascii="Times New Roman" w:hAnsi="Times New Roman" w:eastAsia="Times New Roman" w:cs="Times New Roman"/>
          <w:sz w:val="24"/>
          <w:szCs w:val="24"/>
        </w:rPr>
        <w:t xml:space="preserve">, J., Huml, L., Jurášek, M., Regenstein, J. M., &amp; Ozogul, F. (2025). Synthetic and semi-synthetic antioxidants in medicine and food industry: A review. </w:t>
      </w:r>
      <w:r>
        <w:rPr>
          <w:rFonts w:ascii="Times New Roman" w:hAnsi="Times New Roman" w:eastAsia="Times New Roman" w:cs="Times New Roman"/>
          <w:i/>
          <w:iCs/>
          <w:sz w:val="24"/>
          <w:szCs w:val="24"/>
        </w:rPr>
        <w:t>Frontiers in Pharmacology</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16</w:t>
      </w:r>
      <w:r>
        <w:rPr>
          <w:rFonts w:ascii="Times New Roman" w:hAnsi="Times New Roman" w:eastAsia="Times New Roman" w:cs="Times New Roman"/>
          <w:sz w:val="24"/>
          <w:szCs w:val="24"/>
        </w:rPr>
        <w:t>, 1599816.</w:t>
      </w:r>
    </w:p>
    <w:p w14:paraId="35F4D356">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Tilahun, M. (2022). Multi-drug resistance profile, prevalence of extended-spectrum beta-lactamase and carbapenemase-producing gram negative bacilli among admitted patients after surgery with suspected of surgical site nosocomial infection north east Ethiopia. </w:t>
      </w:r>
      <w:r>
        <w:rPr>
          <w:rFonts w:ascii="Times New Roman" w:hAnsi="Times New Roman" w:eastAsia="Times New Roman" w:cs="Times New Roman"/>
          <w:i/>
          <w:iCs/>
          <w:sz w:val="24"/>
          <w:szCs w:val="24"/>
        </w:rPr>
        <w:t>Infection and Drug Resistance</w:t>
      </w:r>
      <w:r>
        <w:rPr>
          <w:rFonts w:ascii="Times New Roman" w:hAnsi="Times New Roman" w:eastAsia="Times New Roman" w:cs="Times New Roman"/>
          <w:sz w:val="24"/>
          <w:szCs w:val="24"/>
        </w:rPr>
        <w:t>, 3949-3965.</w:t>
      </w:r>
    </w:p>
    <w:p w14:paraId="0C5C6D13">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Totaro, V., Guido, G., Cotugno, S., De Vita, E., Asaduzzaman, M., Patti, G., ... &amp; Saracino, A. (2025). Antimicrobial resistance in Sub-Saharan Africa: A comprehensive landscape review. </w:t>
      </w:r>
      <w:r>
        <w:rPr>
          <w:rFonts w:ascii="Times New Roman" w:hAnsi="Times New Roman" w:eastAsia="Times New Roman" w:cs="Times New Roman"/>
          <w:i/>
          <w:iCs/>
          <w:sz w:val="24"/>
          <w:szCs w:val="24"/>
        </w:rPr>
        <w:t>The American Journal of Tropical Medicine and Hygiene</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113</w:t>
      </w:r>
      <w:r>
        <w:rPr>
          <w:rFonts w:ascii="Times New Roman" w:hAnsi="Times New Roman" w:eastAsia="Times New Roman" w:cs="Times New Roman"/>
          <w:sz w:val="24"/>
          <w:szCs w:val="24"/>
        </w:rPr>
        <w:t>(2), 253.</w:t>
      </w:r>
    </w:p>
    <w:p w14:paraId="50D13BC8">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Tseha, S. T., Mekonnen, Y., Desalegn, A., Eyado, A., &amp; Wondafarsh, M. (2022). Toxicity study and antibacterial effects of the leaves extracts of Boscia coriacea and Uvaria leptocladon. </w:t>
      </w:r>
      <w:r>
        <w:rPr>
          <w:rFonts w:ascii="Times New Roman" w:hAnsi="Times New Roman" w:eastAsia="Times New Roman" w:cs="Times New Roman"/>
          <w:i/>
          <w:iCs/>
          <w:sz w:val="24"/>
          <w:szCs w:val="24"/>
        </w:rPr>
        <w:t>Ethiopian journal of health sciences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32</w:t>
      </w:r>
      <w:r>
        <w:rPr>
          <w:rFonts w:ascii="Times New Roman" w:hAnsi="Times New Roman" w:eastAsia="Times New Roman" w:cs="Times New Roman"/>
          <w:sz w:val="24"/>
          <w:szCs w:val="24"/>
        </w:rPr>
        <w:t>(4), 823-832.</w:t>
      </w:r>
    </w:p>
    <w:p w14:paraId="05EF453F">
      <w:pPr>
        <w:spacing w:before="240" w:after="0" w:line="240" w:lineRule="auto"/>
        <w:ind w:left="720" w:hanging="720"/>
        <w:jc w:val="both"/>
        <w:rPr>
          <w:rFonts w:ascii="Times New Roman" w:hAnsi="Times New Roman" w:eastAsia="Times New Roman" w:cs="Times New Roman"/>
          <w:sz w:val="24"/>
          <w:szCs w:val="24"/>
        </w:rPr>
      </w:pPr>
      <w:bookmarkStart w:id="95" w:name="_Hlk214591038"/>
      <w:r>
        <w:rPr>
          <w:rFonts w:ascii="Times New Roman" w:hAnsi="Times New Roman" w:eastAsia="Times New Roman" w:cs="Times New Roman"/>
          <w:sz w:val="24"/>
          <w:szCs w:val="24"/>
        </w:rPr>
        <w:t>Vaou</w:t>
      </w:r>
      <w:bookmarkEnd w:id="95"/>
      <w:r>
        <w:rPr>
          <w:rFonts w:ascii="Times New Roman" w:hAnsi="Times New Roman" w:eastAsia="Times New Roman" w:cs="Times New Roman"/>
          <w:sz w:val="24"/>
          <w:szCs w:val="24"/>
        </w:rPr>
        <w:t xml:space="preserve">, N., Stavropoulou, E., Voidarou, C., Tsakris, Z., Rozos, G., Tsigalou, C., &amp; Bezirtzoglou, E. (2022). Interactions between medical plant-derived bioactive compounds: Focus on antimicrobial combination effects. </w:t>
      </w:r>
      <w:r>
        <w:rPr>
          <w:rFonts w:ascii="Times New Roman" w:hAnsi="Times New Roman" w:eastAsia="Times New Roman" w:cs="Times New Roman"/>
          <w:i/>
          <w:iCs/>
          <w:sz w:val="24"/>
          <w:szCs w:val="24"/>
        </w:rPr>
        <w:t>Antibiotics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11</w:t>
      </w:r>
      <w:r>
        <w:rPr>
          <w:rFonts w:ascii="Times New Roman" w:hAnsi="Times New Roman" w:eastAsia="Times New Roman" w:cs="Times New Roman"/>
          <w:sz w:val="24"/>
          <w:szCs w:val="24"/>
        </w:rPr>
        <w:t>(8), 1014.</w:t>
      </w:r>
    </w:p>
    <w:p w14:paraId="47403058">
      <w:pPr>
        <w:spacing w:before="240" w:after="0" w:line="240" w:lineRule="auto"/>
        <w:ind w:left="720" w:hanging="720"/>
        <w:jc w:val="both"/>
        <w:rPr>
          <w:rFonts w:ascii="Times New Roman" w:hAnsi="Times New Roman" w:eastAsia="Times New Roman" w:cs="Times New Roman"/>
          <w:sz w:val="24"/>
          <w:szCs w:val="24"/>
        </w:rPr>
      </w:pPr>
      <w:bookmarkStart w:id="96" w:name="_Hlk214665523"/>
      <w:r>
        <w:rPr>
          <w:rFonts w:ascii="Times New Roman" w:hAnsi="Times New Roman" w:eastAsia="Times New Roman" w:cs="Times New Roman"/>
          <w:sz w:val="24"/>
          <w:szCs w:val="24"/>
        </w:rPr>
        <w:t>Vaou</w:t>
      </w:r>
      <w:bookmarkEnd w:id="96"/>
      <w:r>
        <w:rPr>
          <w:rFonts w:ascii="Times New Roman" w:hAnsi="Times New Roman" w:eastAsia="Times New Roman" w:cs="Times New Roman"/>
          <w:sz w:val="24"/>
          <w:szCs w:val="24"/>
        </w:rPr>
        <w:t xml:space="preserve">, N., Stavropoulou, E., Voidarou, C., Tsigalou, C., &amp; Bezirtzoglou, E. (2021). Towards advances in medicinal plant antimicrobial activity: A review study on challenges and future perspectives. </w:t>
      </w:r>
      <w:r>
        <w:rPr>
          <w:rFonts w:ascii="Times New Roman" w:hAnsi="Times New Roman" w:eastAsia="Times New Roman" w:cs="Times New Roman"/>
          <w:i/>
          <w:iCs/>
          <w:sz w:val="24"/>
          <w:szCs w:val="24"/>
        </w:rPr>
        <w:t>Microorganisms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9</w:t>
      </w:r>
      <w:r>
        <w:rPr>
          <w:rFonts w:ascii="Times New Roman" w:hAnsi="Times New Roman" w:eastAsia="Times New Roman" w:cs="Times New Roman"/>
          <w:sz w:val="24"/>
          <w:szCs w:val="24"/>
        </w:rPr>
        <w:t>(10), 2041.</w:t>
      </w:r>
    </w:p>
    <w:p w14:paraId="048B6B20">
      <w:pPr>
        <w:spacing w:before="240" w:after="100" w:afterAutospacing="1"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Vougat Ngom, R., Essa, M. A., &amp; Awa, D. N. (2021). Phytochemical composition and antibacterial activity of </w:t>
      </w:r>
      <w:r>
        <w:rPr>
          <w:rFonts w:ascii="Times New Roman" w:hAnsi="Times New Roman" w:eastAsia="Times New Roman" w:cs="Times New Roman"/>
          <w:i/>
          <w:iCs/>
          <w:sz w:val="24"/>
          <w:szCs w:val="24"/>
        </w:rPr>
        <w:t>Boscia angustifolia</w:t>
      </w:r>
      <w:r>
        <w:rPr>
          <w:rFonts w:ascii="Times New Roman" w:hAnsi="Times New Roman" w:eastAsia="Times New Roman" w:cs="Times New Roman"/>
          <w:sz w:val="24"/>
          <w:szCs w:val="24"/>
        </w:rPr>
        <w:t xml:space="preserve"> (Capparaceae) extracts. </w:t>
      </w:r>
      <w:r>
        <w:rPr>
          <w:rFonts w:ascii="Times New Roman" w:hAnsi="Times New Roman" w:eastAsia="Times New Roman" w:cs="Times New Roman"/>
          <w:i/>
          <w:iCs/>
          <w:sz w:val="24"/>
          <w:szCs w:val="24"/>
        </w:rPr>
        <w:t>South African Journal of Botany</w:t>
      </w:r>
      <w:r>
        <w:rPr>
          <w:rFonts w:ascii="Times New Roman" w:hAnsi="Times New Roman" w:eastAsia="Times New Roman" w:cs="Times New Roman"/>
          <w:sz w:val="24"/>
          <w:szCs w:val="24"/>
        </w:rPr>
        <w:t>, 139, 58–65.</w:t>
      </w:r>
    </w:p>
    <w:p w14:paraId="73996537">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Zafar, N., Uzair, B., Niazi, M. B. K., Menaa, F., Samin, G., Khan, B. A., ... &amp; Menaa, B. (2021). Green synthesis of ciprofloxacin-loaded cerium oxide/chitosan nanocarrier and its activity against MRSA-induced mastitis. </w:t>
      </w:r>
      <w:r>
        <w:rPr>
          <w:rFonts w:ascii="Times New Roman" w:hAnsi="Times New Roman" w:eastAsia="Times New Roman" w:cs="Times New Roman"/>
          <w:i/>
          <w:iCs/>
          <w:sz w:val="24"/>
          <w:szCs w:val="24"/>
        </w:rPr>
        <w:t>Journal of Pharmaceutical Sciences</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110</w:t>
      </w:r>
      <w:r>
        <w:rPr>
          <w:rFonts w:ascii="Times New Roman" w:hAnsi="Times New Roman" w:eastAsia="Times New Roman" w:cs="Times New Roman"/>
          <w:sz w:val="24"/>
          <w:szCs w:val="24"/>
        </w:rPr>
        <w:t>(10), 3471-3483.</w:t>
      </w:r>
    </w:p>
    <w:p w14:paraId="5ECCF0D4">
      <w:pPr>
        <w:spacing w:before="240" w:after="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Zahoor, T., Pandey, A., Singh, P., Sharma, A., &amp; Singh, A. (2025). Colistin resurgence: Revisiting an old antibiotic in the fight against resistant pathogens. </w:t>
      </w:r>
      <w:r>
        <w:rPr>
          <w:rFonts w:ascii="Times New Roman" w:hAnsi="Times New Roman" w:eastAsia="Times New Roman" w:cs="Times New Roman"/>
          <w:i/>
          <w:iCs/>
          <w:sz w:val="24"/>
          <w:szCs w:val="24"/>
        </w:rPr>
        <w:t>Journal of Krishna Institute of Medical Sciences (JKIMSU)</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14</w:t>
      </w:r>
      <w:r>
        <w:rPr>
          <w:rFonts w:ascii="Times New Roman" w:hAnsi="Times New Roman" w:eastAsia="Times New Roman" w:cs="Times New Roman"/>
          <w:sz w:val="24"/>
          <w:szCs w:val="24"/>
        </w:rPr>
        <w:t>(2).</w:t>
      </w:r>
    </w:p>
    <w:sectPr>
      <w:pgSz w:w="12240" w:h="15840"/>
      <w:pgMar w:top="1440" w:right="1440" w:bottom="1440" w:left="1440"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等线">
    <w:altName w:val="Arial Unicode MS"/>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953739"/>
      <w:docPartObj>
        <w:docPartGallery w:val="AutoText"/>
      </w:docPartObj>
    </w:sdtPr>
    <w:sdtContent>
      <w:p w14:paraId="649A9363">
        <w:pPr>
          <w:pStyle w:val="16"/>
          <w:jc w:val="center"/>
        </w:pPr>
        <w:r>
          <w:fldChar w:fldCharType="begin"/>
        </w:r>
        <w:r>
          <w:instrText xml:space="preserve"> PAGE   \* MERGEFORMAT </w:instrText>
        </w:r>
        <w:r>
          <w:fldChar w:fldCharType="separate"/>
        </w:r>
        <w:r>
          <w:t>ii</w:t>
        </w:r>
        <w:r>
          <w:fldChar w:fldCharType="end"/>
        </w:r>
      </w:p>
    </w:sdtContent>
  </w:sdt>
  <w:p w14:paraId="39A524E6">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FC154D"/>
    <w:multiLevelType w:val="multilevel"/>
    <w:tmpl w:val="0EFC154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3BA5A0B"/>
    <w:multiLevelType w:val="multilevel"/>
    <w:tmpl w:val="23BA5A0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2EFB0A59"/>
    <w:multiLevelType w:val="multilevel"/>
    <w:tmpl w:val="2EFB0A5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33CA7A80"/>
    <w:multiLevelType w:val="multilevel"/>
    <w:tmpl w:val="33CA7A8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A46"/>
    <w:rsid w:val="00000ED2"/>
    <w:rsid w:val="00002FB0"/>
    <w:rsid w:val="000103CE"/>
    <w:rsid w:val="000106C2"/>
    <w:rsid w:val="00014833"/>
    <w:rsid w:val="00017122"/>
    <w:rsid w:val="00033500"/>
    <w:rsid w:val="00087BA1"/>
    <w:rsid w:val="00096116"/>
    <w:rsid w:val="00097C7C"/>
    <w:rsid w:val="000C4F2A"/>
    <w:rsid w:val="000E45E5"/>
    <w:rsid w:val="000F5CF5"/>
    <w:rsid w:val="000F7C33"/>
    <w:rsid w:val="00111368"/>
    <w:rsid w:val="00111D40"/>
    <w:rsid w:val="0011660A"/>
    <w:rsid w:val="0012106D"/>
    <w:rsid w:val="00133418"/>
    <w:rsid w:val="001357F0"/>
    <w:rsid w:val="00143031"/>
    <w:rsid w:val="00144819"/>
    <w:rsid w:val="00146B6B"/>
    <w:rsid w:val="001525D1"/>
    <w:rsid w:val="00174B6C"/>
    <w:rsid w:val="0018354B"/>
    <w:rsid w:val="00184692"/>
    <w:rsid w:val="00197E1F"/>
    <w:rsid w:val="001A04B1"/>
    <w:rsid w:val="001A0D6A"/>
    <w:rsid w:val="001A0F6C"/>
    <w:rsid w:val="001A527B"/>
    <w:rsid w:val="001C1328"/>
    <w:rsid w:val="001C16AA"/>
    <w:rsid w:val="001D08A9"/>
    <w:rsid w:val="001D3FEC"/>
    <w:rsid w:val="001F2D92"/>
    <w:rsid w:val="001F31A9"/>
    <w:rsid w:val="001F3895"/>
    <w:rsid w:val="00203707"/>
    <w:rsid w:val="002077A1"/>
    <w:rsid w:val="00231029"/>
    <w:rsid w:val="0023237B"/>
    <w:rsid w:val="00244015"/>
    <w:rsid w:val="00244C67"/>
    <w:rsid w:val="002520B1"/>
    <w:rsid w:val="0026697E"/>
    <w:rsid w:val="00270389"/>
    <w:rsid w:val="0027289B"/>
    <w:rsid w:val="00280838"/>
    <w:rsid w:val="002841E4"/>
    <w:rsid w:val="00287D63"/>
    <w:rsid w:val="002A5724"/>
    <w:rsid w:val="002B2AFD"/>
    <w:rsid w:val="002C27D2"/>
    <w:rsid w:val="002E5C4E"/>
    <w:rsid w:val="002F37B0"/>
    <w:rsid w:val="002F5C94"/>
    <w:rsid w:val="002F6395"/>
    <w:rsid w:val="00321201"/>
    <w:rsid w:val="00322EBD"/>
    <w:rsid w:val="0033552A"/>
    <w:rsid w:val="00345A9D"/>
    <w:rsid w:val="00346104"/>
    <w:rsid w:val="00350503"/>
    <w:rsid w:val="00353E2F"/>
    <w:rsid w:val="0036159A"/>
    <w:rsid w:val="003648F3"/>
    <w:rsid w:val="00367FD2"/>
    <w:rsid w:val="0037171A"/>
    <w:rsid w:val="00372BB8"/>
    <w:rsid w:val="00383C69"/>
    <w:rsid w:val="003865F7"/>
    <w:rsid w:val="00387B12"/>
    <w:rsid w:val="003A571B"/>
    <w:rsid w:val="003C5601"/>
    <w:rsid w:val="003D74D9"/>
    <w:rsid w:val="003E72AD"/>
    <w:rsid w:val="003F77D7"/>
    <w:rsid w:val="00406A6F"/>
    <w:rsid w:val="0041799B"/>
    <w:rsid w:val="0042020F"/>
    <w:rsid w:val="004202A9"/>
    <w:rsid w:val="00431748"/>
    <w:rsid w:val="00432C8B"/>
    <w:rsid w:val="004344DF"/>
    <w:rsid w:val="004619E0"/>
    <w:rsid w:val="00466C20"/>
    <w:rsid w:val="00482078"/>
    <w:rsid w:val="00486305"/>
    <w:rsid w:val="004A6F4F"/>
    <w:rsid w:val="004A7B83"/>
    <w:rsid w:val="004B48C9"/>
    <w:rsid w:val="004C1133"/>
    <w:rsid w:val="004D040E"/>
    <w:rsid w:val="004D37C8"/>
    <w:rsid w:val="004E4F5A"/>
    <w:rsid w:val="004F0AE4"/>
    <w:rsid w:val="004F6AFB"/>
    <w:rsid w:val="00506140"/>
    <w:rsid w:val="0050615F"/>
    <w:rsid w:val="005106DD"/>
    <w:rsid w:val="00513593"/>
    <w:rsid w:val="0052201B"/>
    <w:rsid w:val="00547D17"/>
    <w:rsid w:val="00563117"/>
    <w:rsid w:val="00573C71"/>
    <w:rsid w:val="005760A7"/>
    <w:rsid w:val="00585B4C"/>
    <w:rsid w:val="005933D3"/>
    <w:rsid w:val="005A04EB"/>
    <w:rsid w:val="005A7E31"/>
    <w:rsid w:val="005B6F2D"/>
    <w:rsid w:val="005D0A46"/>
    <w:rsid w:val="005D59FD"/>
    <w:rsid w:val="005E3022"/>
    <w:rsid w:val="005E4AA1"/>
    <w:rsid w:val="0060395E"/>
    <w:rsid w:val="00615BE1"/>
    <w:rsid w:val="00616260"/>
    <w:rsid w:val="006323AB"/>
    <w:rsid w:val="006379B0"/>
    <w:rsid w:val="00643FAA"/>
    <w:rsid w:val="00646CAA"/>
    <w:rsid w:val="00655663"/>
    <w:rsid w:val="00661940"/>
    <w:rsid w:val="00663D34"/>
    <w:rsid w:val="00674396"/>
    <w:rsid w:val="006800E4"/>
    <w:rsid w:val="00690E8B"/>
    <w:rsid w:val="006B5FFC"/>
    <w:rsid w:val="006C3318"/>
    <w:rsid w:val="006C52EE"/>
    <w:rsid w:val="006F385B"/>
    <w:rsid w:val="006F4674"/>
    <w:rsid w:val="0072229E"/>
    <w:rsid w:val="00735A3F"/>
    <w:rsid w:val="0075272A"/>
    <w:rsid w:val="00756F6A"/>
    <w:rsid w:val="00781086"/>
    <w:rsid w:val="00781978"/>
    <w:rsid w:val="0078798C"/>
    <w:rsid w:val="00794C11"/>
    <w:rsid w:val="007977A0"/>
    <w:rsid w:val="007A1175"/>
    <w:rsid w:val="007A5024"/>
    <w:rsid w:val="007B5387"/>
    <w:rsid w:val="007C4C02"/>
    <w:rsid w:val="007E149F"/>
    <w:rsid w:val="007F4CC0"/>
    <w:rsid w:val="00812216"/>
    <w:rsid w:val="00820383"/>
    <w:rsid w:val="008410E6"/>
    <w:rsid w:val="00853D80"/>
    <w:rsid w:val="008751E2"/>
    <w:rsid w:val="00881F53"/>
    <w:rsid w:val="00885C44"/>
    <w:rsid w:val="00895B36"/>
    <w:rsid w:val="008A0B2D"/>
    <w:rsid w:val="008A3D1C"/>
    <w:rsid w:val="008A4E8D"/>
    <w:rsid w:val="008B4608"/>
    <w:rsid w:val="008C2E46"/>
    <w:rsid w:val="008C6776"/>
    <w:rsid w:val="008D01F9"/>
    <w:rsid w:val="008F6269"/>
    <w:rsid w:val="009027C8"/>
    <w:rsid w:val="009136F0"/>
    <w:rsid w:val="00931008"/>
    <w:rsid w:val="00937728"/>
    <w:rsid w:val="0094044B"/>
    <w:rsid w:val="00950F2D"/>
    <w:rsid w:val="00955D5E"/>
    <w:rsid w:val="00957C2D"/>
    <w:rsid w:val="0097185E"/>
    <w:rsid w:val="00974FE6"/>
    <w:rsid w:val="00981753"/>
    <w:rsid w:val="009862FA"/>
    <w:rsid w:val="00990B5B"/>
    <w:rsid w:val="009B5A5D"/>
    <w:rsid w:val="009F5702"/>
    <w:rsid w:val="00A20AF4"/>
    <w:rsid w:val="00A24229"/>
    <w:rsid w:val="00A24A61"/>
    <w:rsid w:val="00A350AA"/>
    <w:rsid w:val="00A350C0"/>
    <w:rsid w:val="00A416A0"/>
    <w:rsid w:val="00A51C69"/>
    <w:rsid w:val="00A543EE"/>
    <w:rsid w:val="00A63751"/>
    <w:rsid w:val="00A65C1D"/>
    <w:rsid w:val="00A74F5D"/>
    <w:rsid w:val="00A765A8"/>
    <w:rsid w:val="00A80921"/>
    <w:rsid w:val="00A80C59"/>
    <w:rsid w:val="00A9102A"/>
    <w:rsid w:val="00AB547A"/>
    <w:rsid w:val="00AB5862"/>
    <w:rsid w:val="00AD0C80"/>
    <w:rsid w:val="00AD4B48"/>
    <w:rsid w:val="00AD62C4"/>
    <w:rsid w:val="00AD7291"/>
    <w:rsid w:val="00AE0748"/>
    <w:rsid w:val="00AE0EB4"/>
    <w:rsid w:val="00AE28AF"/>
    <w:rsid w:val="00AE6AAC"/>
    <w:rsid w:val="00B13FD2"/>
    <w:rsid w:val="00B22303"/>
    <w:rsid w:val="00B33410"/>
    <w:rsid w:val="00B42D1D"/>
    <w:rsid w:val="00B43DD6"/>
    <w:rsid w:val="00B46766"/>
    <w:rsid w:val="00B52F84"/>
    <w:rsid w:val="00B556C8"/>
    <w:rsid w:val="00B56F4D"/>
    <w:rsid w:val="00B62F5B"/>
    <w:rsid w:val="00B63E75"/>
    <w:rsid w:val="00B80504"/>
    <w:rsid w:val="00B838A1"/>
    <w:rsid w:val="00BA7D1E"/>
    <w:rsid w:val="00BD192C"/>
    <w:rsid w:val="00BE48D5"/>
    <w:rsid w:val="00C040DF"/>
    <w:rsid w:val="00C06CD0"/>
    <w:rsid w:val="00C13611"/>
    <w:rsid w:val="00C16CEB"/>
    <w:rsid w:val="00C36FE8"/>
    <w:rsid w:val="00C41958"/>
    <w:rsid w:val="00C56466"/>
    <w:rsid w:val="00C70F6B"/>
    <w:rsid w:val="00C82E69"/>
    <w:rsid w:val="00C91459"/>
    <w:rsid w:val="00CA61A1"/>
    <w:rsid w:val="00CB072B"/>
    <w:rsid w:val="00CB73D3"/>
    <w:rsid w:val="00CE14F9"/>
    <w:rsid w:val="00D034E9"/>
    <w:rsid w:val="00D167DB"/>
    <w:rsid w:val="00D44015"/>
    <w:rsid w:val="00D50839"/>
    <w:rsid w:val="00D56A3C"/>
    <w:rsid w:val="00D627CA"/>
    <w:rsid w:val="00D66184"/>
    <w:rsid w:val="00D66951"/>
    <w:rsid w:val="00D71B60"/>
    <w:rsid w:val="00D71E4A"/>
    <w:rsid w:val="00D7314D"/>
    <w:rsid w:val="00D7637D"/>
    <w:rsid w:val="00D80655"/>
    <w:rsid w:val="00D84D2F"/>
    <w:rsid w:val="00D92220"/>
    <w:rsid w:val="00D96920"/>
    <w:rsid w:val="00D97DBA"/>
    <w:rsid w:val="00DB1AEA"/>
    <w:rsid w:val="00DC057F"/>
    <w:rsid w:val="00DC62B0"/>
    <w:rsid w:val="00DC6A22"/>
    <w:rsid w:val="00DE493B"/>
    <w:rsid w:val="00DF0964"/>
    <w:rsid w:val="00DF74BF"/>
    <w:rsid w:val="00E11024"/>
    <w:rsid w:val="00E12521"/>
    <w:rsid w:val="00E126DA"/>
    <w:rsid w:val="00E16BAF"/>
    <w:rsid w:val="00E1723A"/>
    <w:rsid w:val="00E174B1"/>
    <w:rsid w:val="00E20136"/>
    <w:rsid w:val="00E27874"/>
    <w:rsid w:val="00E317AD"/>
    <w:rsid w:val="00E35898"/>
    <w:rsid w:val="00E419E7"/>
    <w:rsid w:val="00E572CD"/>
    <w:rsid w:val="00E614E7"/>
    <w:rsid w:val="00E73949"/>
    <w:rsid w:val="00E74074"/>
    <w:rsid w:val="00E81E53"/>
    <w:rsid w:val="00E83BB1"/>
    <w:rsid w:val="00E8443F"/>
    <w:rsid w:val="00E9761A"/>
    <w:rsid w:val="00E97DB3"/>
    <w:rsid w:val="00EA1C11"/>
    <w:rsid w:val="00EA1EC7"/>
    <w:rsid w:val="00EA4119"/>
    <w:rsid w:val="00EB076A"/>
    <w:rsid w:val="00EB5DE1"/>
    <w:rsid w:val="00EB7071"/>
    <w:rsid w:val="00EC0B45"/>
    <w:rsid w:val="00EC6386"/>
    <w:rsid w:val="00ED0679"/>
    <w:rsid w:val="00ED6C96"/>
    <w:rsid w:val="00EE0897"/>
    <w:rsid w:val="00EE334C"/>
    <w:rsid w:val="00EF1704"/>
    <w:rsid w:val="00EF4FB3"/>
    <w:rsid w:val="00EF7439"/>
    <w:rsid w:val="00F011A1"/>
    <w:rsid w:val="00F02435"/>
    <w:rsid w:val="00F17016"/>
    <w:rsid w:val="00F263C9"/>
    <w:rsid w:val="00F2647C"/>
    <w:rsid w:val="00F3159A"/>
    <w:rsid w:val="00F331B4"/>
    <w:rsid w:val="00F42115"/>
    <w:rsid w:val="00F42C77"/>
    <w:rsid w:val="00F50B0C"/>
    <w:rsid w:val="00F54660"/>
    <w:rsid w:val="00F6082B"/>
    <w:rsid w:val="00F65294"/>
    <w:rsid w:val="00F6627B"/>
    <w:rsid w:val="00F67AB1"/>
    <w:rsid w:val="00F703C0"/>
    <w:rsid w:val="00F749D1"/>
    <w:rsid w:val="00F82496"/>
    <w:rsid w:val="00F82555"/>
    <w:rsid w:val="00F85ADF"/>
    <w:rsid w:val="00F92F81"/>
    <w:rsid w:val="00F962AF"/>
    <w:rsid w:val="00FB3211"/>
    <w:rsid w:val="00FD2389"/>
    <w:rsid w:val="04C663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0"/>
      <w:sz w:val="22"/>
      <w:szCs w:val="22"/>
      <w:lang w:val="en-US" w:eastAsia="en-US" w:bidi="ar-SA"/>
      <w14:ligatures w14:val="none"/>
    </w:rPr>
  </w:style>
  <w:style w:type="paragraph" w:styleId="2">
    <w:name w:val="heading 1"/>
    <w:basedOn w:val="1"/>
    <w:next w:val="1"/>
    <w:link w:val="28"/>
    <w:qFormat/>
    <w:uiPriority w:val="9"/>
    <w:pPr>
      <w:keepNext/>
      <w:keepLines/>
      <w:spacing w:before="360" w:after="80"/>
      <w:outlineLvl w:val="0"/>
    </w:pPr>
    <w:rPr>
      <w:rFonts w:ascii="Times New Roman" w:hAnsi="Times New Roman" w:eastAsiaTheme="majorEastAsia" w:cstheme="majorBidi"/>
      <w:b/>
      <w:color w:val="000000" w:themeColor="text1"/>
      <w:sz w:val="24"/>
      <w:szCs w:val="40"/>
      <w14:textFill>
        <w14:solidFill>
          <w14:schemeClr w14:val="tx1"/>
        </w14:solidFill>
      </w14:textFill>
    </w:rPr>
  </w:style>
  <w:style w:type="paragraph" w:styleId="3">
    <w:name w:val="heading 2"/>
    <w:basedOn w:val="1"/>
    <w:next w:val="1"/>
    <w:link w:val="29"/>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30"/>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31"/>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32"/>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3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50"/>
    <w:semiHidden/>
    <w:unhideWhenUsed/>
    <w:uiPriority w:val="99"/>
    <w:pPr>
      <w:spacing w:after="0" w:line="240" w:lineRule="auto"/>
    </w:pPr>
    <w:rPr>
      <w:rFonts w:ascii="Tahoma" w:hAnsi="Tahoma" w:cs="Tahoma"/>
      <w:sz w:val="16"/>
      <w:szCs w:val="16"/>
    </w:rPr>
  </w:style>
  <w:style w:type="paragraph" w:styleId="14">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character" w:styleId="15">
    <w:name w:val="Emphasis"/>
    <w:basedOn w:val="11"/>
    <w:qFormat/>
    <w:uiPriority w:val="20"/>
    <w:rPr>
      <w:i/>
      <w:iCs/>
    </w:rPr>
  </w:style>
  <w:style w:type="paragraph" w:styleId="16">
    <w:name w:val="footer"/>
    <w:basedOn w:val="1"/>
    <w:link w:val="47"/>
    <w:unhideWhenUsed/>
    <w:uiPriority w:val="99"/>
    <w:pPr>
      <w:tabs>
        <w:tab w:val="center" w:pos="4680"/>
        <w:tab w:val="right" w:pos="9360"/>
      </w:tabs>
      <w:spacing w:after="0" w:line="240" w:lineRule="auto"/>
    </w:pPr>
  </w:style>
  <w:style w:type="paragraph" w:styleId="17">
    <w:name w:val="header"/>
    <w:basedOn w:val="1"/>
    <w:link w:val="46"/>
    <w:unhideWhenUsed/>
    <w:uiPriority w:val="99"/>
    <w:pPr>
      <w:tabs>
        <w:tab w:val="center" w:pos="4680"/>
        <w:tab w:val="right" w:pos="9360"/>
      </w:tabs>
      <w:spacing w:after="0" w:line="240" w:lineRule="auto"/>
    </w:pPr>
  </w:style>
  <w:style w:type="character" w:styleId="18">
    <w:name w:val="Hyperlink"/>
    <w:basedOn w:val="11"/>
    <w:unhideWhenUsed/>
    <w:uiPriority w:val="99"/>
    <w:rPr>
      <w:color w:val="0563C1" w:themeColor="hyperlink"/>
      <w:u w:val="single"/>
      <w14:textFill>
        <w14:solidFill>
          <w14:schemeClr w14:val="hlink"/>
        </w14:solidFill>
      </w14:textFill>
    </w:rPr>
  </w:style>
  <w:style w:type="paragraph" w:styleId="19">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Strong"/>
    <w:basedOn w:val="11"/>
    <w:qFormat/>
    <w:uiPriority w:val="22"/>
    <w:rPr>
      <w:b/>
      <w:bCs/>
    </w:rPr>
  </w:style>
  <w:style w:type="paragraph" w:styleId="21">
    <w:name w:val="Subtitle"/>
    <w:basedOn w:val="1"/>
    <w:next w:val="1"/>
    <w:link w:val="3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2">
    <w:name w:val="Table Grid"/>
    <w:basedOn w:val="12"/>
    <w:uiPriority w:val="59"/>
    <w:pPr>
      <w:spacing w:after="0" w:line="240" w:lineRule="auto"/>
    </w:pPr>
    <w:rPr>
      <w:kern w:val="0"/>
      <w:sz w:val="22"/>
      <w:szCs w:val="22"/>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23">
    <w:name w:val="table of figures"/>
    <w:basedOn w:val="1"/>
    <w:next w:val="1"/>
    <w:unhideWhenUsed/>
    <w:uiPriority w:val="99"/>
    <w:pPr>
      <w:spacing w:after="0"/>
    </w:pPr>
  </w:style>
  <w:style w:type="paragraph" w:styleId="24">
    <w:name w:val="Title"/>
    <w:basedOn w:val="1"/>
    <w:next w:val="1"/>
    <w:link w:val="3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5">
    <w:name w:val="toc 1"/>
    <w:basedOn w:val="1"/>
    <w:next w:val="1"/>
    <w:autoRedefine/>
    <w:unhideWhenUsed/>
    <w:qFormat/>
    <w:uiPriority w:val="39"/>
    <w:pPr>
      <w:spacing w:after="100"/>
    </w:pPr>
  </w:style>
  <w:style w:type="paragraph" w:styleId="26">
    <w:name w:val="toc 2"/>
    <w:basedOn w:val="1"/>
    <w:next w:val="1"/>
    <w:autoRedefine/>
    <w:unhideWhenUsed/>
    <w:uiPriority w:val="39"/>
    <w:pPr>
      <w:spacing w:after="100"/>
      <w:ind w:left="220"/>
    </w:pPr>
  </w:style>
  <w:style w:type="paragraph" w:styleId="27">
    <w:name w:val="toc 3"/>
    <w:basedOn w:val="1"/>
    <w:next w:val="1"/>
    <w:autoRedefine/>
    <w:unhideWhenUsed/>
    <w:uiPriority w:val="39"/>
    <w:pPr>
      <w:tabs>
        <w:tab w:val="right" w:leader="dot" w:pos="0"/>
      </w:tabs>
      <w:spacing w:after="100"/>
    </w:pPr>
  </w:style>
  <w:style w:type="character" w:customStyle="1" w:styleId="28">
    <w:name w:val="Heading 1 Char"/>
    <w:basedOn w:val="11"/>
    <w:link w:val="2"/>
    <w:qFormat/>
    <w:uiPriority w:val="9"/>
    <w:rPr>
      <w:rFonts w:ascii="Times New Roman" w:hAnsi="Times New Roman" w:eastAsiaTheme="majorEastAsia" w:cstheme="majorBidi"/>
      <w:b/>
      <w:color w:val="000000" w:themeColor="text1"/>
      <w:kern w:val="0"/>
      <w:szCs w:val="40"/>
      <w14:textFill>
        <w14:solidFill>
          <w14:schemeClr w14:val="tx1"/>
        </w14:solidFill>
      </w14:textFill>
      <w14:ligatures w14:val="none"/>
    </w:rPr>
  </w:style>
  <w:style w:type="character" w:customStyle="1" w:styleId="29">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30">
    <w:name w:val="Heading 3 Char"/>
    <w:basedOn w:val="11"/>
    <w:link w:val="4"/>
    <w:uiPriority w:val="9"/>
    <w:rPr>
      <w:rFonts w:eastAsiaTheme="majorEastAsia" w:cstheme="majorBidi"/>
      <w:color w:val="2F5597" w:themeColor="accent1" w:themeShade="BF"/>
      <w:sz w:val="28"/>
      <w:szCs w:val="28"/>
    </w:rPr>
  </w:style>
  <w:style w:type="character" w:customStyle="1" w:styleId="31">
    <w:name w:val="Heading 4 Char"/>
    <w:basedOn w:val="11"/>
    <w:link w:val="5"/>
    <w:semiHidden/>
    <w:uiPriority w:val="9"/>
    <w:rPr>
      <w:rFonts w:eastAsiaTheme="majorEastAsia" w:cstheme="majorBidi"/>
      <w:i/>
      <w:iCs/>
      <w:color w:val="2F5597" w:themeColor="accent1" w:themeShade="BF"/>
    </w:rPr>
  </w:style>
  <w:style w:type="character" w:customStyle="1" w:styleId="32">
    <w:name w:val="Heading 5 Char"/>
    <w:basedOn w:val="11"/>
    <w:link w:val="6"/>
    <w:semiHidden/>
    <w:qFormat/>
    <w:uiPriority w:val="9"/>
    <w:rPr>
      <w:rFonts w:eastAsiaTheme="majorEastAsia" w:cstheme="majorBidi"/>
      <w:color w:val="2F5597" w:themeColor="accent1" w:themeShade="BF"/>
    </w:rPr>
  </w:style>
  <w:style w:type="character" w:customStyle="1" w:styleId="33">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4">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5">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6">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7">
    <w:name w:val="Title Char"/>
    <w:basedOn w:val="11"/>
    <w:link w:val="24"/>
    <w:uiPriority w:val="10"/>
    <w:rPr>
      <w:rFonts w:asciiTheme="majorHAnsi" w:hAnsiTheme="majorHAnsi" w:eastAsiaTheme="majorEastAsia" w:cstheme="majorBidi"/>
      <w:spacing w:val="-10"/>
      <w:kern w:val="28"/>
      <w:sz w:val="56"/>
      <w:szCs w:val="56"/>
    </w:rPr>
  </w:style>
  <w:style w:type="character" w:customStyle="1" w:styleId="38">
    <w:name w:val="Subtitle Char"/>
    <w:basedOn w:val="11"/>
    <w:link w:val="21"/>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9">
    <w:name w:val="Quote"/>
    <w:basedOn w:val="1"/>
    <w:next w:val="1"/>
    <w:link w:val="4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0">
    <w:name w:val="Quote Char"/>
    <w:basedOn w:val="11"/>
    <w:link w:val="39"/>
    <w:uiPriority w:val="29"/>
    <w:rPr>
      <w:i/>
      <w:iCs/>
      <w:color w:val="404040" w:themeColor="text1" w:themeTint="BF"/>
      <w14:textFill>
        <w14:solidFill>
          <w14:schemeClr w14:val="tx1">
            <w14:lumMod w14:val="75000"/>
            <w14:lumOff w14:val="25000"/>
          </w14:schemeClr>
        </w14:solidFill>
      </w14:textFill>
    </w:rPr>
  </w:style>
  <w:style w:type="paragraph" w:styleId="41">
    <w:name w:val="List Paragraph"/>
    <w:basedOn w:val="1"/>
    <w:qFormat/>
    <w:uiPriority w:val="34"/>
    <w:pPr>
      <w:ind w:left="720"/>
      <w:contextualSpacing/>
    </w:pPr>
  </w:style>
  <w:style w:type="character" w:customStyle="1" w:styleId="42">
    <w:name w:val="Intense Emphasis"/>
    <w:basedOn w:val="11"/>
    <w:qFormat/>
    <w:uiPriority w:val="21"/>
    <w:rPr>
      <w:i/>
      <w:iCs/>
      <w:color w:val="2F5597" w:themeColor="accent1" w:themeShade="BF"/>
    </w:rPr>
  </w:style>
  <w:style w:type="paragraph" w:styleId="43">
    <w:name w:val="Intense Quote"/>
    <w:basedOn w:val="1"/>
    <w:next w:val="1"/>
    <w:link w:val="4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4">
    <w:name w:val="Intense Quote Char"/>
    <w:basedOn w:val="11"/>
    <w:link w:val="43"/>
    <w:uiPriority w:val="30"/>
    <w:rPr>
      <w:i/>
      <w:iCs/>
      <w:color w:val="2F5597" w:themeColor="accent1" w:themeShade="BF"/>
    </w:rPr>
  </w:style>
  <w:style w:type="character" w:customStyle="1" w:styleId="45">
    <w:name w:val="Intense Reference"/>
    <w:basedOn w:val="11"/>
    <w:qFormat/>
    <w:uiPriority w:val="32"/>
    <w:rPr>
      <w:b/>
      <w:bCs/>
      <w:smallCaps/>
      <w:color w:val="2F5597" w:themeColor="accent1" w:themeShade="BF"/>
      <w:spacing w:val="5"/>
    </w:rPr>
  </w:style>
  <w:style w:type="character" w:customStyle="1" w:styleId="46">
    <w:name w:val="Header Char"/>
    <w:basedOn w:val="11"/>
    <w:link w:val="17"/>
    <w:uiPriority w:val="99"/>
    <w:rPr>
      <w:kern w:val="0"/>
      <w:sz w:val="22"/>
      <w:szCs w:val="22"/>
      <w14:ligatures w14:val="none"/>
    </w:rPr>
  </w:style>
  <w:style w:type="character" w:customStyle="1" w:styleId="47">
    <w:name w:val="Footer Char"/>
    <w:basedOn w:val="11"/>
    <w:link w:val="16"/>
    <w:uiPriority w:val="99"/>
    <w:rPr>
      <w:kern w:val="0"/>
      <w:sz w:val="22"/>
      <w:szCs w:val="22"/>
      <w14:ligatures w14:val="none"/>
    </w:rPr>
  </w:style>
  <w:style w:type="character" w:customStyle="1" w:styleId="48">
    <w:name w:val="Unresolved Mention1"/>
    <w:basedOn w:val="11"/>
    <w:semiHidden/>
    <w:unhideWhenUsed/>
    <w:uiPriority w:val="99"/>
    <w:rPr>
      <w:color w:val="605E5C"/>
      <w:shd w:val="clear" w:color="auto" w:fill="E1DFDD"/>
    </w:rPr>
  </w:style>
  <w:style w:type="paragraph" w:customStyle="1" w:styleId="49">
    <w:name w:val="TOC Heading"/>
    <w:basedOn w:val="2"/>
    <w:next w:val="1"/>
    <w:unhideWhenUsed/>
    <w:qFormat/>
    <w:uiPriority w:val="39"/>
    <w:pPr>
      <w:spacing w:before="240" w:after="0"/>
      <w:outlineLvl w:val="9"/>
    </w:pPr>
    <w:rPr>
      <w:sz w:val="32"/>
      <w:szCs w:val="32"/>
    </w:rPr>
  </w:style>
  <w:style w:type="character" w:customStyle="1" w:styleId="50">
    <w:name w:val="Balloon Text Char"/>
    <w:basedOn w:val="11"/>
    <w:link w:val="13"/>
    <w:semiHidden/>
    <w:uiPriority w:val="99"/>
    <w:rPr>
      <w:rFonts w:ascii="Tahoma" w:hAnsi="Tahoma" w:cs="Tahoma"/>
      <w:kern w:val="0"/>
      <w:sz w:val="16"/>
      <w:szCs w:val="16"/>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074E5-ED09-4191-8EB0-2FE054F1C993}">
  <ds:schemaRefs/>
</ds:datastoreItem>
</file>

<file path=docProps/app.xml><?xml version="1.0" encoding="utf-8"?>
<Properties xmlns="http://schemas.openxmlformats.org/officeDocument/2006/extended-properties" xmlns:vt="http://schemas.openxmlformats.org/officeDocument/2006/docPropsVTypes">
  <Template>Normal</Template>
  <Pages>39</Pages>
  <Words>9136</Words>
  <Characters>52076</Characters>
  <Lines>433</Lines>
  <Paragraphs>122</Paragraphs>
  <TotalTime>27</TotalTime>
  <ScaleCrop>false</ScaleCrop>
  <LinksUpToDate>false</LinksUpToDate>
  <CharactersWithSpaces>61090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2025-11-27T09:06:00Z</dcterms:created>
  <dc:creator>Mohammed Abubakar Suleiman</dc:creator>
  <cp:lastModifiedBy>Elibrary</cp:lastModifiedBy>
  <cp:lastPrinted>2026-03-07T12:38:22Z</cp:lastPrinted>
  <dcterms:modified xsi:type="dcterms:W3CDTF">2026-03-07T13:04:58Z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B4AFC779F1DB48C9B3C396A1DA965269_12</vt:lpwstr>
  </property>
</Properties>
</file>