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70D34" w14:textId="77777777" w:rsidR="00B803FD" w:rsidRPr="00A37EBE" w:rsidRDefault="00B803FD" w:rsidP="00B803FD">
      <w:pPr>
        <w:shd w:val="clear" w:color="auto" w:fill="FFFFFF"/>
        <w:spacing w:before="240" w:after="240" w:line="240" w:lineRule="auto"/>
        <w:rPr>
          <w:rFonts w:eastAsia="Times New Roman" w:cs="Times New Roman"/>
          <w:color w:val="0F1115"/>
          <w:szCs w:val="24"/>
        </w:rPr>
      </w:pPr>
      <w:r w:rsidRPr="00A37EBE">
        <w:rPr>
          <w:rFonts w:eastAsia="Times New Roman" w:cs="Times New Roman"/>
          <w:color w:val="0F1115"/>
          <w:szCs w:val="24"/>
        </w:rPr>
        <w:t xml:space="preserve">Pregnancy induces significant physiological changes in lipid metabolism, but excessive </w:t>
      </w:r>
      <w:proofErr w:type="spellStart"/>
      <w:r w:rsidRPr="00A37EBE">
        <w:rPr>
          <w:rFonts w:eastAsia="Times New Roman" w:cs="Times New Roman"/>
          <w:color w:val="0F1115"/>
          <w:szCs w:val="24"/>
        </w:rPr>
        <w:t>dyslipidaemia</w:t>
      </w:r>
      <w:proofErr w:type="spellEnd"/>
      <w:r w:rsidRPr="00A37EBE">
        <w:rPr>
          <w:rFonts w:eastAsia="Times New Roman" w:cs="Times New Roman"/>
          <w:color w:val="0F1115"/>
          <w:szCs w:val="24"/>
        </w:rPr>
        <w:t xml:space="preserve"> is implicated in hypertensive disorders, a leading cause of maternal morbidity</w:t>
      </w:r>
      <w:r>
        <w:rPr>
          <w:rFonts w:eastAsia="Times New Roman" w:cs="Times New Roman"/>
          <w:color w:val="0F1115"/>
          <w:szCs w:val="24"/>
        </w:rPr>
        <w:t xml:space="preserve"> and mortality</w:t>
      </w:r>
      <w:r w:rsidRPr="00A37EBE">
        <w:rPr>
          <w:rFonts w:eastAsia="Times New Roman" w:cs="Times New Roman"/>
          <w:color w:val="0F1115"/>
          <w:szCs w:val="24"/>
        </w:rPr>
        <w:t>. This study assessed</w:t>
      </w:r>
      <w:r>
        <w:rPr>
          <w:rFonts w:eastAsia="Times New Roman" w:cs="Times New Roman"/>
          <w:color w:val="0F1115"/>
          <w:szCs w:val="24"/>
        </w:rPr>
        <w:t xml:space="preserve"> the dynamics of atherogenic indices, </w:t>
      </w:r>
      <w:r w:rsidRPr="00A37EBE">
        <w:rPr>
          <w:rFonts w:eastAsia="Times New Roman" w:cs="Times New Roman"/>
          <w:color w:val="0F1115"/>
          <w:szCs w:val="24"/>
        </w:rPr>
        <w:t>complex</w:t>
      </w:r>
      <w:r>
        <w:rPr>
          <w:rFonts w:eastAsia="Times New Roman" w:cs="Times New Roman"/>
          <w:color w:val="0F1115"/>
          <w:szCs w:val="24"/>
        </w:rPr>
        <w:t xml:space="preserve"> markers of cardiovascular risk </w:t>
      </w:r>
      <w:r w:rsidRPr="00A37EBE">
        <w:rPr>
          <w:rFonts w:eastAsia="Times New Roman" w:cs="Times New Roman"/>
          <w:color w:val="0F1115"/>
          <w:szCs w:val="24"/>
        </w:rPr>
        <w:t xml:space="preserve">and blood pressure profiles across </w:t>
      </w:r>
      <w:r>
        <w:rPr>
          <w:rFonts w:eastAsia="Times New Roman" w:cs="Times New Roman"/>
          <w:color w:val="0F1115"/>
          <w:szCs w:val="24"/>
        </w:rPr>
        <w:t>the</w:t>
      </w:r>
      <w:r w:rsidRPr="00A37EBE">
        <w:rPr>
          <w:rFonts w:eastAsia="Times New Roman" w:cs="Times New Roman"/>
          <w:color w:val="0F1115"/>
          <w:szCs w:val="24"/>
        </w:rPr>
        <w:t xml:space="preserve"> trimesters in Sokoto, Nigeria. A hospital-based cross-sectional study was conducted involving 160 pregnant women</w:t>
      </w:r>
      <w:r>
        <w:rPr>
          <w:rFonts w:eastAsia="Times New Roman" w:cs="Times New Roman"/>
          <w:color w:val="0F1115"/>
          <w:szCs w:val="24"/>
        </w:rPr>
        <w:t xml:space="preserve">, </w:t>
      </w:r>
      <w:proofErr w:type="spellStart"/>
      <w:r>
        <w:rPr>
          <w:rFonts w:eastAsia="Times New Roman" w:cs="Times New Roman"/>
          <w:color w:val="0F1115"/>
          <w:szCs w:val="24"/>
        </w:rPr>
        <w:t>non pregnant</w:t>
      </w:r>
      <w:proofErr w:type="spellEnd"/>
      <w:r>
        <w:rPr>
          <w:rFonts w:eastAsia="Times New Roman" w:cs="Times New Roman"/>
          <w:color w:val="0F1115"/>
          <w:szCs w:val="24"/>
        </w:rPr>
        <w:t xml:space="preserve"> women were used as control</w:t>
      </w:r>
      <w:r w:rsidRPr="00A37EBE">
        <w:rPr>
          <w:rFonts w:eastAsia="Times New Roman" w:cs="Times New Roman"/>
          <w:color w:val="0F1115"/>
          <w:szCs w:val="24"/>
        </w:rPr>
        <w:t>. Fasting blood samples were collected for lipid profile analysis</w:t>
      </w:r>
      <w:r>
        <w:rPr>
          <w:rFonts w:eastAsia="Times New Roman" w:cs="Times New Roman"/>
          <w:color w:val="0F1115"/>
          <w:szCs w:val="24"/>
        </w:rPr>
        <w:t xml:space="preserve"> using standard laboratory techniques</w:t>
      </w:r>
      <w:r w:rsidRPr="00A37EBE">
        <w:rPr>
          <w:rFonts w:eastAsia="Times New Roman" w:cs="Times New Roman"/>
          <w:color w:val="0F1115"/>
          <w:szCs w:val="24"/>
        </w:rPr>
        <w:t>, from which Atherogenic Index of Plasma (AIP), Castelli’s Risk Indices (CRI-I, CRI-II), Atherogenic Coefficient (AC), and Non-HDL Cholesterol were calculated.</w:t>
      </w:r>
      <w:r>
        <w:rPr>
          <w:rFonts w:eastAsia="Times New Roman" w:cs="Times New Roman"/>
          <w:color w:val="0F1115"/>
          <w:szCs w:val="24"/>
        </w:rPr>
        <w:t xml:space="preserve"> </w:t>
      </w:r>
      <w:r w:rsidRPr="00A37EBE">
        <w:rPr>
          <w:rFonts w:eastAsia="Times New Roman" w:cs="Times New Roman"/>
          <w:color w:val="0F1115"/>
          <w:szCs w:val="24"/>
        </w:rPr>
        <w:t xml:space="preserve"> Blood pressure and anthropometric measurements were also taken. Results revealed a progressive, significant (p&lt;0.05) increase in all atherogenic indices from the first to the third trimester.</w:t>
      </w:r>
      <w:r>
        <w:rPr>
          <w:rFonts w:eastAsia="Times New Roman" w:cs="Times New Roman"/>
          <w:color w:val="0F1115"/>
          <w:szCs w:val="24"/>
        </w:rPr>
        <w:t xml:space="preserve"> Up to </w:t>
      </w:r>
      <w:r w:rsidRPr="00A37EBE">
        <w:rPr>
          <w:rFonts w:eastAsia="Times New Roman" w:cs="Times New Roman"/>
          <w:color w:val="0F1115"/>
          <w:szCs w:val="24"/>
        </w:rPr>
        <w:t>70% of participants were classified a</w:t>
      </w:r>
      <w:r>
        <w:rPr>
          <w:rFonts w:eastAsia="Times New Roman" w:cs="Times New Roman"/>
          <w:color w:val="0F1115"/>
          <w:szCs w:val="24"/>
        </w:rPr>
        <w:t xml:space="preserve">s high-risk by AIP.  A </w:t>
      </w:r>
      <w:r w:rsidRPr="00A37EBE">
        <w:rPr>
          <w:rFonts w:eastAsia="Times New Roman" w:cs="Times New Roman"/>
          <w:color w:val="0F1115"/>
          <w:szCs w:val="24"/>
        </w:rPr>
        <w:t>high prevalence of hypertensive states was observed, with only 55% having normal systolic pressure.</w:t>
      </w:r>
      <w:r>
        <w:rPr>
          <w:rFonts w:eastAsia="Times New Roman" w:cs="Times New Roman"/>
          <w:color w:val="0F1115"/>
          <w:szCs w:val="24"/>
        </w:rPr>
        <w:t xml:space="preserve"> A</w:t>
      </w:r>
      <w:r w:rsidRPr="00A37EBE">
        <w:rPr>
          <w:rFonts w:eastAsia="Times New Roman" w:cs="Times New Roman"/>
          <w:color w:val="0F1115"/>
          <w:szCs w:val="24"/>
        </w:rPr>
        <w:t xml:space="preserve">ll atherogenic indices showed a significant association with both </w:t>
      </w:r>
      <w:r>
        <w:rPr>
          <w:rFonts w:eastAsia="Times New Roman" w:cs="Times New Roman"/>
          <w:color w:val="0F1115"/>
          <w:szCs w:val="24"/>
        </w:rPr>
        <w:t xml:space="preserve">high </w:t>
      </w:r>
      <w:r w:rsidRPr="00A37EBE">
        <w:rPr>
          <w:rFonts w:eastAsia="Times New Roman" w:cs="Times New Roman"/>
          <w:color w:val="0F1115"/>
          <w:szCs w:val="24"/>
        </w:rPr>
        <w:t xml:space="preserve">systolic (e.g., AIP χ²=35.268, p=0.002) and </w:t>
      </w:r>
      <w:r>
        <w:rPr>
          <w:rFonts w:eastAsia="Times New Roman" w:cs="Times New Roman"/>
          <w:color w:val="0F1115"/>
          <w:szCs w:val="24"/>
        </w:rPr>
        <w:t xml:space="preserve">high </w:t>
      </w:r>
      <w:r w:rsidRPr="00A37EBE">
        <w:rPr>
          <w:rFonts w:eastAsia="Times New Roman" w:cs="Times New Roman"/>
          <w:color w:val="0F1115"/>
          <w:szCs w:val="24"/>
        </w:rPr>
        <w:t xml:space="preserve">diastolic blood pressure classifications, indicating a strong link between </w:t>
      </w:r>
      <w:proofErr w:type="spellStart"/>
      <w:r w:rsidRPr="00A37EBE">
        <w:rPr>
          <w:rFonts w:eastAsia="Times New Roman" w:cs="Times New Roman"/>
          <w:color w:val="0F1115"/>
          <w:szCs w:val="24"/>
        </w:rPr>
        <w:t>dyslipidaemia</w:t>
      </w:r>
      <w:proofErr w:type="spellEnd"/>
      <w:r w:rsidRPr="00A37EBE">
        <w:rPr>
          <w:rFonts w:eastAsia="Times New Roman" w:cs="Times New Roman"/>
          <w:color w:val="0F1115"/>
          <w:szCs w:val="24"/>
        </w:rPr>
        <w:t xml:space="preserve"> and hypertension. The study concludes that pregnancy is characterized by a dynamic shift towards a profoundly atherogenic lipid profile, which is significantly correlated </w:t>
      </w:r>
      <w:r>
        <w:rPr>
          <w:rFonts w:eastAsia="Times New Roman" w:cs="Times New Roman"/>
          <w:color w:val="0F1115"/>
          <w:szCs w:val="24"/>
        </w:rPr>
        <w:t>with elevated blood pressure. The study</w:t>
      </w:r>
      <w:r w:rsidRPr="00A37EBE">
        <w:rPr>
          <w:rFonts w:eastAsia="Times New Roman" w:cs="Times New Roman"/>
          <w:color w:val="0F1115"/>
          <w:szCs w:val="24"/>
        </w:rPr>
        <w:t xml:space="preserve"> recommend</w:t>
      </w:r>
      <w:r>
        <w:rPr>
          <w:rFonts w:eastAsia="Times New Roman" w:cs="Times New Roman"/>
          <w:color w:val="0F1115"/>
          <w:szCs w:val="24"/>
        </w:rPr>
        <w:t>s</w:t>
      </w:r>
      <w:r w:rsidRPr="00A37EBE">
        <w:rPr>
          <w:rFonts w:eastAsia="Times New Roman" w:cs="Times New Roman"/>
          <w:color w:val="0F1115"/>
          <w:szCs w:val="24"/>
        </w:rPr>
        <w:t xml:space="preserve"> integrating routine atherogenic index screening into antenatal care for early risk stratification and closer monitoring of at-risk pregnant women to mitigate adverse outcomes.</w:t>
      </w:r>
    </w:p>
    <w:p w14:paraId="4E9285E5" w14:textId="77777777" w:rsidR="00B803FD" w:rsidRDefault="00B803FD" w:rsidP="00B803FD">
      <w:pPr>
        <w:tabs>
          <w:tab w:val="left" w:pos="3525"/>
        </w:tabs>
      </w:pPr>
      <w:r>
        <w:tab/>
      </w:r>
    </w:p>
    <w:p w14:paraId="2A8B6B1F" w14:textId="77777777" w:rsidR="00B803FD" w:rsidRDefault="00B803FD"/>
    <w:sectPr w:rsidR="00B80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FD"/>
    <w:rsid w:val="006E0143"/>
    <w:rsid w:val="00B8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4C0CD"/>
  <w15:chartTrackingRefBased/>
  <w15:docId w15:val="{9FDFECDC-0D26-406C-8047-832B96DB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3FD"/>
    <w:pPr>
      <w:spacing w:line="480" w:lineRule="auto"/>
      <w:jc w:val="both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03F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3F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3F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3F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3F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3FD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3FD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3FD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3FD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3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3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3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3F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3F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3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3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3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3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3F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0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3FD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0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3FD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03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3FD"/>
    <w:pPr>
      <w:spacing w:line="278" w:lineRule="auto"/>
      <w:ind w:left="720"/>
      <w:contextualSpacing/>
      <w:jc w:val="left"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03F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3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3F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3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2026-05-13T13:32:00Z</dcterms:created>
  <dcterms:modified xsi:type="dcterms:W3CDTF">2026-05-13T13:33:00Z</dcterms:modified>
</cp:coreProperties>
</file>