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9344" w14:textId="77777777" w:rsidR="00316F7C" w:rsidRPr="000355BA" w:rsidRDefault="00316F7C" w:rsidP="00316F7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16F7C" w:rsidRPr="000355BA" w:rsidSect="00316F7C">
          <w:footerReference w:type="default" r:id="rId4"/>
          <w:pgSz w:w="11907" w:h="16839" w:code="9"/>
          <w:pgMar w:top="2736" w:right="1440" w:bottom="1296" w:left="2160" w:header="720" w:footer="720" w:gutter="0"/>
          <w:pgNumType w:fmt="lowerRoman" w:chapStyle="1"/>
          <w:cols w:space="720"/>
          <w:docGrid w:linePitch="360"/>
        </w:sectPr>
      </w:pP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, a </w:t>
      </w:r>
      <w:r>
        <w:rPr>
          <w:rFonts w:ascii="Times New Roman" w:hAnsi="Times New Roman" w:cs="Times New Roman"/>
          <w:sz w:val="24"/>
          <w:szCs w:val="24"/>
        </w:rPr>
        <w:t>hallmark feature of</w:t>
      </w:r>
      <w:r w:rsidRPr="004A4CBA">
        <w:rPr>
          <w:rFonts w:ascii="Times New Roman" w:hAnsi="Times New Roman" w:cs="Times New Roman"/>
          <w:sz w:val="24"/>
          <w:szCs w:val="24"/>
        </w:rPr>
        <w:t xml:space="preserve"> diabetes mellitus, is increasingly observed among young adults, </w:t>
      </w:r>
      <w:r>
        <w:rPr>
          <w:rFonts w:ascii="Times New Roman" w:hAnsi="Times New Roman" w:cs="Times New Roman"/>
          <w:sz w:val="24"/>
          <w:szCs w:val="24"/>
        </w:rPr>
        <w:t>especially</w:t>
      </w:r>
      <w:r w:rsidRPr="004A4CBA">
        <w:rPr>
          <w:rFonts w:ascii="Times New Roman" w:hAnsi="Times New Roman" w:cs="Times New Roman"/>
          <w:sz w:val="24"/>
          <w:szCs w:val="24"/>
        </w:rPr>
        <w:t xml:space="preserve"> in academic settings where suboptimal lifestyle practices and stress are common. This study assessed the prevalence of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and associated risk factors among preclinical students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CBA">
        <w:rPr>
          <w:rFonts w:ascii="Times New Roman" w:hAnsi="Times New Roman" w:cs="Times New Roman"/>
          <w:sz w:val="24"/>
          <w:szCs w:val="24"/>
        </w:rPr>
        <w:t xml:space="preserve">College of Health Sciences,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Usmanu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Danfodiyo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University, Sokoto. A </w:t>
      </w:r>
      <w:proofErr w:type="gramStart"/>
      <w:r w:rsidRPr="004A4CBA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CBA">
        <w:rPr>
          <w:rFonts w:ascii="Times New Roman" w:hAnsi="Times New Roman" w:cs="Times New Roman"/>
          <w:sz w:val="24"/>
          <w:szCs w:val="24"/>
        </w:rPr>
        <w:t>sectional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study </w:t>
      </w:r>
      <w:r w:rsidRPr="004A4CBA">
        <w:rPr>
          <w:rFonts w:ascii="Times New Roman" w:hAnsi="Times New Roman" w:cs="Times New Roman"/>
          <w:sz w:val="24"/>
          <w:szCs w:val="24"/>
        </w:rPr>
        <w:t xml:space="preserve">design </w:t>
      </w:r>
      <w:r>
        <w:rPr>
          <w:rFonts w:ascii="Times New Roman" w:hAnsi="Times New Roman" w:cs="Times New Roman"/>
          <w:sz w:val="24"/>
          <w:szCs w:val="24"/>
        </w:rPr>
        <w:t xml:space="preserve">was employed, </w:t>
      </w:r>
      <w:r w:rsidRPr="004A4CBA">
        <w:rPr>
          <w:rFonts w:ascii="Times New Roman" w:hAnsi="Times New Roman" w:cs="Times New Roman"/>
          <w:sz w:val="24"/>
          <w:szCs w:val="24"/>
        </w:rPr>
        <w:t>involv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4A4CBA">
        <w:rPr>
          <w:rFonts w:ascii="Times New Roman" w:hAnsi="Times New Roman" w:cs="Times New Roman"/>
          <w:sz w:val="24"/>
          <w:szCs w:val="24"/>
        </w:rPr>
        <w:t xml:space="preserve"> 120 </w:t>
      </w:r>
      <w:r>
        <w:rPr>
          <w:rFonts w:ascii="Times New Roman" w:hAnsi="Times New Roman" w:cs="Times New Roman"/>
          <w:sz w:val="24"/>
          <w:szCs w:val="24"/>
        </w:rPr>
        <w:t>participants</w:t>
      </w:r>
      <w:r w:rsidRPr="004A4CBA">
        <w:rPr>
          <w:rFonts w:ascii="Times New Roman" w:hAnsi="Times New Roman" w:cs="Times New Roman"/>
          <w:sz w:val="24"/>
          <w:szCs w:val="24"/>
        </w:rPr>
        <w:t xml:space="preserve"> (35.8% males, 64.2% females) </w:t>
      </w:r>
      <w:r>
        <w:rPr>
          <w:rFonts w:ascii="Times New Roman" w:hAnsi="Times New Roman" w:cs="Times New Roman"/>
          <w:sz w:val="24"/>
          <w:szCs w:val="24"/>
        </w:rPr>
        <w:t>across</w:t>
      </w:r>
      <w:r w:rsidRPr="004A4CBA">
        <w:rPr>
          <w:rFonts w:ascii="Times New Roman" w:hAnsi="Times New Roman" w:cs="Times New Roman"/>
          <w:sz w:val="24"/>
          <w:szCs w:val="24"/>
        </w:rPr>
        <w:t xml:space="preserve"> Medical Laboratory Science, Medicine and Surgery, Nursing, Pharmacy, Physiotherapy, and Radiography</w:t>
      </w:r>
      <w:r>
        <w:rPr>
          <w:rFonts w:ascii="Times New Roman" w:hAnsi="Times New Roman" w:cs="Times New Roman"/>
          <w:sz w:val="24"/>
          <w:szCs w:val="24"/>
        </w:rPr>
        <w:t xml:space="preserve"> departments</w:t>
      </w:r>
      <w:r w:rsidRPr="004A4CBA">
        <w:rPr>
          <w:rFonts w:ascii="Times New Roman" w:hAnsi="Times New Roman" w:cs="Times New Roman"/>
          <w:sz w:val="24"/>
          <w:szCs w:val="24"/>
        </w:rPr>
        <w:t xml:space="preserve">. Fasting blood glucose (FBG) was measured using a calibrated glucometer following </w:t>
      </w:r>
      <w:r>
        <w:rPr>
          <w:rFonts w:ascii="Times New Roman" w:hAnsi="Times New Roman" w:cs="Times New Roman"/>
          <w:sz w:val="24"/>
          <w:szCs w:val="24"/>
        </w:rPr>
        <w:t>aseptic techniques and manufacturer’s guideline</w:t>
      </w:r>
      <w:r w:rsidRPr="004A4CBA">
        <w:rPr>
          <w:rFonts w:ascii="Times New Roman" w:hAnsi="Times New Roman" w:cs="Times New Roman"/>
          <w:sz w:val="24"/>
          <w:szCs w:val="24"/>
        </w:rPr>
        <w:t xml:space="preserve">. A validated questionnaire evaluated demographics, </w:t>
      </w:r>
      <w:r>
        <w:rPr>
          <w:rFonts w:ascii="Times New Roman" w:hAnsi="Times New Roman" w:cs="Times New Roman"/>
          <w:sz w:val="24"/>
          <w:szCs w:val="24"/>
        </w:rPr>
        <w:t>risk</w:t>
      </w:r>
      <w:r w:rsidRPr="004A4CBA">
        <w:rPr>
          <w:rFonts w:ascii="Times New Roman" w:hAnsi="Times New Roman" w:cs="Times New Roman"/>
          <w:sz w:val="24"/>
          <w:szCs w:val="24"/>
        </w:rPr>
        <w:t xml:space="preserve"> factors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(family history of diabetes mellitus, sedentary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, exercise, academic stress, sleep habits, sugary beverage and processed snack consumption), and knowledge of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Glycaemic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assessment</w:t>
      </w:r>
      <w:r>
        <w:rPr>
          <w:rFonts w:ascii="Times New Roman" w:hAnsi="Times New Roman" w:cs="Times New Roman"/>
          <w:sz w:val="24"/>
          <w:szCs w:val="24"/>
        </w:rPr>
        <w:t xml:space="preserve"> using ADA criteria</w:t>
      </w:r>
      <w:r w:rsidRPr="004A4CBA">
        <w:rPr>
          <w:rFonts w:ascii="Times New Roman" w:hAnsi="Times New Roman" w:cs="Times New Roman"/>
          <w:sz w:val="24"/>
          <w:szCs w:val="24"/>
        </w:rPr>
        <w:t xml:space="preserve"> showed 64.2% had normal FBG (3.9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A4CBA">
        <w:rPr>
          <w:rFonts w:ascii="Times New Roman" w:hAnsi="Times New Roman" w:cs="Times New Roman"/>
          <w:sz w:val="24"/>
          <w:szCs w:val="24"/>
        </w:rPr>
        <w:t>5.5 mmol/L), 28.3% impaired fasting glucose (5.6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A4CBA">
        <w:rPr>
          <w:rFonts w:ascii="Times New Roman" w:hAnsi="Times New Roman" w:cs="Times New Roman"/>
          <w:sz w:val="24"/>
          <w:szCs w:val="24"/>
        </w:rPr>
        <w:t xml:space="preserve">6.9 mmol/L), 2.5%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(≥7.0 mmol/L), and 5.0%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hypoglycaemia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(&lt;3.9 mmol/L).</w:t>
      </w:r>
      <w:r>
        <w:rPr>
          <w:rFonts w:ascii="Times New Roman" w:hAnsi="Times New Roman" w:cs="Times New Roman"/>
          <w:sz w:val="24"/>
          <w:szCs w:val="24"/>
        </w:rPr>
        <w:t xml:space="preserve"> Assessed</w:t>
      </w:r>
      <w:r w:rsidRPr="004A4CBA">
        <w:rPr>
          <w:rFonts w:ascii="Times New Roman" w:hAnsi="Times New Roman" w:cs="Times New Roman"/>
          <w:sz w:val="24"/>
          <w:szCs w:val="24"/>
        </w:rPr>
        <w:t xml:space="preserve"> risk factors included poor sleep (76.7%), daily sugary beverages (57.6%),</w:t>
      </w:r>
      <w:r>
        <w:rPr>
          <w:rFonts w:ascii="Times New Roman" w:hAnsi="Times New Roman" w:cs="Times New Roman"/>
          <w:sz w:val="24"/>
          <w:szCs w:val="24"/>
        </w:rPr>
        <w:t xml:space="preserve"> daily</w:t>
      </w:r>
      <w:r w:rsidRPr="004A4CBA">
        <w:rPr>
          <w:rFonts w:ascii="Times New Roman" w:hAnsi="Times New Roman" w:cs="Times New Roman"/>
          <w:sz w:val="24"/>
          <w:szCs w:val="24"/>
        </w:rPr>
        <w:t xml:space="preserve"> processed snacks (50.0%), academic stress (49.1%), and no daily exercise (54.2%)</w:t>
      </w:r>
      <w:r>
        <w:rPr>
          <w:rFonts w:ascii="Times New Roman" w:hAnsi="Times New Roman" w:cs="Times New Roman"/>
          <w:sz w:val="24"/>
          <w:szCs w:val="24"/>
        </w:rPr>
        <w:t>, f</w:t>
      </w:r>
      <w:r w:rsidRPr="004A4CBA">
        <w:rPr>
          <w:rFonts w:ascii="Times New Roman" w:hAnsi="Times New Roman" w:cs="Times New Roman"/>
          <w:sz w:val="24"/>
          <w:szCs w:val="24"/>
        </w:rPr>
        <w:t xml:space="preserve">amily history of diabetes mellitus was reported by 24.2%. No risk factor was significantly associated with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CBA">
        <w:rPr>
          <w:rFonts w:ascii="Times New Roman" w:hAnsi="Times New Roman" w:cs="Times New Roman"/>
          <w:sz w:val="24"/>
          <w:szCs w:val="24"/>
        </w:rPr>
        <w:t>(p&gt;0.05). Knowledge was satisfactory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4CBA">
        <w:rPr>
          <w:rFonts w:ascii="Times New Roman" w:hAnsi="Times New Roman" w:cs="Times New Roman"/>
          <w:sz w:val="24"/>
          <w:szCs w:val="24"/>
        </w:rPr>
        <w:t xml:space="preserve"> 82.5% correctly defined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>, 93.3% endorsed dietary control and exercise for prevention, and 95.3% recognized diabetes, heart disease, and kidney damage as consequences.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CBA">
        <w:rPr>
          <w:rFonts w:ascii="Times New Roman" w:hAnsi="Times New Roman" w:cs="Times New Roman"/>
          <w:sz w:val="24"/>
          <w:szCs w:val="24"/>
        </w:rPr>
        <w:t xml:space="preserve">Although </w:t>
      </w:r>
      <w:r>
        <w:rPr>
          <w:rFonts w:ascii="Times New Roman" w:hAnsi="Times New Roman" w:cs="Times New Roman"/>
          <w:sz w:val="24"/>
          <w:szCs w:val="24"/>
        </w:rPr>
        <w:t>the prevalence of</w:t>
      </w:r>
      <w:r w:rsidRPr="004A4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BA">
        <w:rPr>
          <w:rFonts w:ascii="Times New Roman" w:hAnsi="Times New Roman" w:cs="Times New Roman"/>
          <w:sz w:val="24"/>
          <w:szCs w:val="24"/>
        </w:rPr>
        <w:t>hyperglycaemia</w:t>
      </w:r>
      <w:proofErr w:type="spellEnd"/>
      <w:r w:rsidRPr="004A4CBA">
        <w:rPr>
          <w:rFonts w:ascii="Times New Roman" w:hAnsi="Times New Roman" w:cs="Times New Roman"/>
          <w:sz w:val="24"/>
          <w:szCs w:val="24"/>
        </w:rPr>
        <w:t xml:space="preserve"> was low, the high prevalence of impaired fasting glucose highlights a significant prediabetes burden, emphasizing the need for health education and interventions to prevent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CBA">
        <w:rPr>
          <w:rFonts w:ascii="Times New Roman" w:hAnsi="Times New Roman" w:cs="Times New Roman"/>
          <w:sz w:val="24"/>
          <w:szCs w:val="24"/>
        </w:rPr>
        <w:t>diabetes mellitus.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5CC63013" w14:textId="77777777" w:rsidR="00316F7C" w:rsidRDefault="00316F7C"/>
    <w:sectPr w:rsidR="00316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89E5" w14:textId="77777777" w:rsidR="00316F7C" w:rsidRDefault="00316F7C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8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6C9CE922" w14:textId="77777777" w:rsidR="00316F7C" w:rsidRDefault="00316F7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7C"/>
    <w:rsid w:val="00316F7C"/>
    <w:rsid w:val="003A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A954C"/>
  <w15:chartTrackingRefBased/>
  <w15:docId w15:val="{085E8D0A-C4C3-4EE6-9C13-23D3FDCF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F7C"/>
    <w:pPr>
      <w:spacing w:after="200" w:line="276" w:lineRule="auto"/>
    </w:pPr>
    <w:rPr>
      <w:rFonts w:ascii="Calibri" w:eastAsia="Times New Roman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F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F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F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F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F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F7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F7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F7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F7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F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F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F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6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F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6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F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6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F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6F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F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F7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316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F7C"/>
    <w:rPr>
      <w:rFonts w:ascii="Calibri" w:eastAsia="Times New Roman" w:hAnsi="Calibri" w:cs="SimSu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2026-05-13T13:03:00Z</dcterms:created>
  <dcterms:modified xsi:type="dcterms:W3CDTF">2026-05-13T13:05:00Z</dcterms:modified>
</cp:coreProperties>
</file>