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4924F787" w14:textId="77777777" w:rsidR="00046961" w:rsidRPr="001C66A6" w:rsidRDefault="00046961" w:rsidP="00046961">
      <w:pPr>
        <w:spacing w:line="240" w:lineRule="auto"/>
        <w:jc w:val="both"/>
        <w:rPr>
          <w:rStyle w:val="css-1jxf684"/>
          <w:rFonts w:ascii="Times New Roman" w:hAnsi="Times New Roman" w:cs="Times New Roman"/>
          <w:sz w:val="24"/>
          <w:szCs w:val="24"/>
        </w:rPr>
        <w:sectPr w:rsidR="00046961" w:rsidRPr="001C66A6" w:rsidSect="00046961">
          <w:footerReference w:type="even" r:id="rId4"/>
          <w:footerReference w:type="default" r:id="rId5"/>
          <w:footerReference w:type="first" r:id="rId6"/>
          <w:pgSz w:w="12240" w:h="15840"/>
          <w:pgMar w:top="1440" w:right="1440" w:bottom="1440" w:left="1440" w:header="720" w:footer="720" w:gutter="0"/>
          <w:pgNumType w:fmt="lowerRoman" w:start="1"/>
          <w:cols w:space="720"/>
          <w:docGrid w:linePitch="360"/>
        </w:sectPr>
      </w:pPr>
      <w:r w:rsidRPr="00080002">
        <w:rPr>
          <w:rStyle w:val="css-1jxf684"/>
          <w:rFonts w:ascii="Times New Roman" w:hAnsi="Times New Roman" w:cs="Times New Roman"/>
          <w:i/>
        </w:rPr>
        <w:t>Pseudomonas aeruginosa</w:t>
      </w:r>
      <w:r w:rsidRPr="001718F0">
        <w:rPr>
          <w:rStyle w:val="css-1jxf684"/>
          <w:rFonts w:ascii="Times New Roman" w:hAnsi="Times New Roman" w:cs="Times New Roman"/>
        </w:rPr>
        <w:t xml:space="preserve">, an opportunistic </w:t>
      </w:r>
      <w:proofErr w:type="spellStart"/>
      <w:r w:rsidRPr="001718F0">
        <w:rPr>
          <w:rStyle w:val="css-1jxf684"/>
          <w:rFonts w:ascii="Times New Roman" w:hAnsi="Times New Roman" w:cs="Times New Roman"/>
        </w:rPr>
        <w:t>uropathogen</w:t>
      </w:r>
      <w:proofErr w:type="spellEnd"/>
      <w:r w:rsidRPr="001718F0">
        <w:rPr>
          <w:rStyle w:val="css-1jxf684"/>
          <w:rFonts w:ascii="Times New Roman" w:hAnsi="Times New Roman" w:cs="Times New Roman"/>
        </w:rPr>
        <w:t>, poses significant therapeutic challenges due to intrinsic and acquired resistance mechanisms</w:t>
      </w:r>
      <w:r>
        <w:rPr>
          <w:rStyle w:val="css-1jxf684"/>
          <w:rFonts w:ascii="Times New Roman" w:hAnsi="Times New Roman" w:cs="Times New Roman"/>
        </w:rPr>
        <w:t>. This study aimed to detect</w:t>
      </w:r>
      <w:r w:rsidRPr="001718F0">
        <w:rPr>
          <w:rStyle w:val="css-1jxf684"/>
          <w:rFonts w:ascii="Times New Roman" w:hAnsi="Times New Roman" w:cs="Times New Roman"/>
        </w:rPr>
        <w:t xml:space="preserve"> the </w:t>
      </w:r>
      <w:r>
        <w:rPr>
          <w:rStyle w:val="css-1jxf684"/>
          <w:rFonts w:ascii="Times New Roman" w:hAnsi="Times New Roman" w:cs="Times New Roman"/>
        </w:rPr>
        <w:t>multi-</w:t>
      </w:r>
      <w:proofErr w:type="gramStart"/>
      <w:r>
        <w:rPr>
          <w:rStyle w:val="css-1jxf684"/>
          <w:rFonts w:ascii="Times New Roman" w:hAnsi="Times New Roman" w:cs="Times New Roman"/>
        </w:rPr>
        <w:t>drug resistant</w:t>
      </w:r>
      <w:proofErr w:type="gramEnd"/>
      <w:r>
        <w:rPr>
          <w:rStyle w:val="css-1jxf684"/>
          <w:rFonts w:ascii="Times New Roman" w:hAnsi="Times New Roman" w:cs="Times New Roman"/>
        </w:rPr>
        <w:t xml:space="preserve"> </w:t>
      </w:r>
      <w:r>
        <w:rPr>
          <w:rStyle w:val="css-1jxf684"/>
          <w:rFonts w:ascii="Times New Roman" w:hAnsi="Times New Roman" w:cs="Times New Roman"/>
          <w:i/>
        </w:rPr>
        <w:t xml:space="preserve">Pseudomonas </w:t>
      </w:r>
      <w:r w:rsidRPr="007E35B7">
        <w:rPr>
          <w:rStyle w:val="css-1jxf684"/>
          <w:rFonts w:ascii="Times New Roman" w:hAnsi="Times New Roman" w:cs="Times New Roman"/>
          <w:i/>
        </w:rPr>
        <w:t>aeruginosa</w:t>
      </w:r>
      <w:r w:rsidRPr="001718F0">
        <w:rPr>
          <w:rStyle w:val="css-1jxf684"/>
          <w:rFonts w:ascii="Times New Roman" w:hAnsi="Times New Roman" w:cs="Times New Roman"/>
        </w:rPr>
        <w:t xml:space="preserve"> from urine samples of geriatric patients attending Specialist Hospital, Sokoto, Nigeria.</w:t>
      </w:r>
      <w:r>
        <w:rPr>
          <w:rStyle w:val="css-1jxf684"/>
          <w:rFonts w:ascii="Times New Roman" w:hAnsi="Times New Roman" w:cs="Times New Roman"/>
        </w:rPr>
        <w:t xml:space="preserve"> </w:t>
      </w:r>
      <w:r w:rsidRPr="001718F0">
        <w:rPr>
          <w:rStyle w:val="css-1jxf684"/>
          <w:rFonts w:ascii="Times New Roman" w:hAnsi="Times New Roman" w:cs="Times New Roman"/>
        </w:rPr>
        <w:t>A cross-sec</w:t>
      </w:r>
      <w:r>
        <w:rPr>
          <w:rStyle w:val="css-1jxf684"/>
          <w:rFonts w:ascii="Times New Roman" w:hAnsi="Times New Roman" w:cs="Times New Roman"/>
        </w:rPr>
        <w:t>tional study was conducted on 71</w:t>
      </w:r>
      <w:r w:rsidRPr="001718F0">
        <w:rPr>
          <w:rStyle w:val="css-1jxf684"/>
          <w:rFonts w:ascii="Times New Roman" w:hAnsi="Times New Roman" w:cs="Times New Roman"/>
        </w:rPr>
        <w:t xml:space="preserve"> urine samples from patients aged ≥65 years with suspected UTI. Samples were cultured on CLED agar, and isolates identified using standard microbiological techniques. Antibiotic susceptibility was assessed via Kirby-Bauer disk diffusion method following CLSI 2018 guidelines. Data were analyzed </w:t>
      </w:r>
      <w:r>
        <w:rPr>
          <w:rStyle w:val="css-1jxf684"/>
          <w:rFonts w:ascii="Times New Roman" w:hAnsi="Times New Roman" w:cs="Times New Roman"/>
        </w:rPr>
        <w:t>using</w:t>
      </w:r>
      <w:r w:rsidRPr="001718F0">
        <w:rPr>
          <w:rStyle w:val="css-1jxf684"/>
          <w:rFonts w:ascii="Times New Roman" w:hAnsi="Times New Roman" w:cs="Times New Roman"/>
        </w:rPr>
        <w:t xml:space="preserve"> Chi-square test (P &lt; 0.05 significant).</w:t>
      </w:r>
      <w:r>
        <w:rPr>
          <w:rStyle w:val="css-1jxf684"/>
          <w:rFonts w:ascii="Times New Roman" w:hAnsi="Times New Roman" w:cs="Times New Roman"/>
        </w:rPr>
        <w:t xml:space="preserve"> </w:t>
      </w:r>
      <w:r w:rsidRPr="001718F0">
        <w:rPr>
          <w:rStyle w:val="css-1jxf684"/>
          <w:rFonts w:ascii="Times New Roman" w:hAnsi="Times New Roman" w:cs="Times New Roman"/>
        </w:rPr>
        <w:t>Significant bacteriuria (≥10⁵ CFU/mL) was</w:t>
      </w:r>
      <w:r>
        <w:rPr>
          <w:rStyle w:val="css-1jxf684"/>
          <w:rFonts w:ascii="Times New Roman" w:hAnsi="Times New Roman" w:cs="Times New Roman"/>
        </w:rPr>
        <w:t xml:space="preserve"> observed in 68% (n=48/71</w:t>
      </w:r>
      <w:r w:rsidRPr="001718F0">
        <w:rPr>
          <w:rStyle w:val="css-1jxf684"/>
          <w:rFonts w:ascii="Times New Roman" w:hAnsi="Times New Roman" w:cs="Times New Roman"/>
        </w:rPr>
        <w:t xml:space="preserve">) of samples. Among 61 isolates, </w:t>
      </w:r>
      <w:r w:rsidRPr="00676D58">
        <w:rPr>
          <w:rStyle w:val="css-1jxf684"/>
          <w:rFonts w:ascii="Times New Roman" w:hAnsi="Times New Roman" w:cs="Times New Roman"/>
          <w:i/>
        </w:rPr>
        <w:t>Staphylococcus species</w:t>
      </w:r>
      <w:r w:rsidRPr="001718F0">
        <w:rPr>
          <w:rStyle w:val="css-1jxf684"/>
          <w:rFonts w:ascii="Times New Roman" w:hAnsi="Times New Roman" w:cs="Times New Roman"/>
        </w:rPr>
        <w:t xml:space="preserve"> were most prevalent (44.3%, n=27), followed by </w:t>
      </w:r>
      <w:r>
        <w:rPr>
          <w:rStyle w:val="css-1jxf684"/>
          <w:rFonts w:ascii="Times New Roman" w:hAnsi="Times New Roman" w:cs="Times New Roman"/>
          <w:i/>
        </w:rPr>
        <w:t>Pseudomonas</w:t>
      </w:r>
      <w:r w:rsidRPr="001C66A6">
        <w:rPr>
          <w:rStyle w:val="css-1jxf684"/>
          <w:rFonts w:ascii="Times New Roman" w:hAnsi="Times New Roman" w:cs="Times New Roman"/>
          <w:i/>
        </w:rPr>
        <w:t xml:space="preserve"> aeruginosa</w:t>
      </w:r>
      <w:r w:rsidRPr="001718F0">
        <w:rPr>
          <w:rStyle w:val="css-1jxf684"/>
          <w:rFonts w:ascii="Times New Roman" w:hAnsi="Times New Roman" w:cs="Times New Roman"/>
        </w:rPr>
        <w:t xml:space="preserve"> (21.3%, n=13), </w:t>
      </w:r>
      <w:r w:rsidRPr="00676D58">
        <w:rPr>
          <w:rStyle w:val="css-1jxf684"/>
          <w:rFonts w:ascii="Times New Roman" w:hAnsi="Times New Roman" w:cs="Times New Roman"/>
          <w:i/>
        </w:rPr>
        <w:t>Klebsiella species</w:t>
      </w:r>
      <w:r w:rsidRPr="001718F0">
        <w:rPr>
          <w:rStyle w:val="css-1jxf684"/>
          <w:rFonts w:ascii="Times New Roman" w:hAnsi="Times New Roman" w:cs="Times New Roman"/>
        </w:rPr>
        <w:t xml:space="preserve"> (18.0%, n=11), and </w:t>
      </w:r>
      <w:r w:rsidRPr="00676D58">
        <w:rPr>
          <w:rStyle w:val="css-1jxf684"/>
          <w:rFonts w:ascii="Times New Roman" w:hAnsi="Times New Roman" w:cs="Times New Roman"/>
          <w:i/>
        </w:rPr>
        <w:t>E. coli</w:t>
      </w:r>
      <w:r w:rsidRPr="001718F0">
        <w:rPr>
          <w:rStyle w:val="css-1jxf684"/>
          <w:rFonts w:ascii="Times New Roman" w:hAnsi="Times New Roman" w:cs="Times New Roman"/>
        </w:rPr>
        <w:t xml:space="preserve"> (16.4%, n=10). The distribution was statistically significant (χ² = 13.376, </w:t>
      </w:r>
      <w:proofErr w:type="spellStart"/>
      <w:r w:rsidRPr="001718F0">
        <w:rPr>
          <w:rStyle w:val="css-1jxf684"/>
          <w:rFonts w:ascii="Times New Roman" w:hAnsi="Times New Roman" w:cs="Times New Roman"/>
        </w:rPr>
        <w:t>df</w:t>
      </w:r>
      <w:proofErr w:type="spellEnd"/>
      <w:r w:rsidRPr="001718F0">
        <w:rPr>
          <w:rStyle w:val="css-1jxf684"/>
          <w:rFonts w:ascii="Times New Roman" w:hAnsi="Times New Roman" w:cs="Times New Roman"/>
        </w:rPr>
        <w:t xml:space="preserve"> = 3, P = 0.0039).</w:t>
      </w:r>
      <w:r>
        <w:rPr>
          <w:rStyle w:val="css-1jxf684"/>
          <w:rFonts w:ascii="Times New Roman" w:hAnsi="Times New Roman" w:cs="Times New Roman"/>
        </w:rPr>
        <w:t xml:space="preserve"> </w:t>
      </w:r>
      <w:r w:rsidRPr="001718F0">
        <w:rPr>
          <w:rStyle w:val="css-1jxf684"/>
          <w:rFonts w:ascii="Times New Roman" w:hAnsi="Times New Roman" w:cs="Times New Roman"/>
        </w:rPr>
        <w:t xml:space="preserve">All 13 </w:t>
      </w:r>
      <w:r>
        <w:rPr>
          <w:rStyle w:val="css-1jxf684"/>
          <w:rFonts w:ascii="Times New Roman" w:hAnsi="Times New Roman" w:cs="Times New Roman"/>
          <w:i/>
        </w:rPr>
        <w:t>Pseudomonas</w:t>
      </w:r>
      <w:r w:rsidRPr="002A4F7C">
        <w:rPr>
          <w:rStyle w:val="css-1jxf684"/>
          <w:rFonts w:ascii="Times New Roman" w:hAnsi="Times New Roman" w:cs="Times New Roman"/>
          <w:i/>
        </w:rPr>
        <w:t xml:space="preserve"> aeruginosa</w:t>
      </w:r>
      <w:r w:rsidRPr="001718F0">
        <w:rPr>
          <w:rStyle w:val="css-1jxf684"/>
          <w:rFonts w:ascii="Times New Roman" w:hAnsi="Times New Roman" w:cs="Times New Roman"/>
        </w:rPr>
        <w:t xml:space="preserve"> isolates were</w:t>
      </w:r>
      <w:r w:rsidRPr="004B00E1">
        <w:rPr>
          <w:rStyle w:val="css-1jxf684"/>
          <w:rFonts w:ascii="Times New Roman" w:hAnsi="Times New Roman" w:cs="Times New Roman"/>
        </w:rPr>
        <w:t xml:space="preserve"> </w:t>
      </w:r>
      <w:r>
        <w:rPr>
          <w:rStyle w:val="css-1jxf684"/>
          <w:rFonts w:ascii="Times New Roman" w:hAnsi="Times New Roman" w:cs="Times New Roman"/>
        </w:rPr>
        <w:t>multi-drug resistance</w:t>
      </w:r>
      <w:r w:rsidRPr="001718F0">
        <w:rPr>
          <w:rStyle w:val="css-1jxf684"/>
          <w:rFonts w:ascii="Times New Roman" w:hAnsi="Times New Roman" w:cs="Times New Roman"/>
        </w:rPr>
        <w:t>. Highest sensitivity was to Streptomycin (61.5%), while Augmentin showed 100% resistance. Resistance to 1st/2nd generation cephalosporins was 92.3%, 3rd generation cephalosporins 84.6%, and fluoroquinolones 69.2%. Aminoglycosides had the lowest resistance (46.2%).</w:t>
      </w:r>
      <w:r>
        <w:rPr>
          <w:rStyle w:val="css-1jxf684"/>
          <w:rFonts w:ascii="Times New Roman" w:hAnsi="Times New Roman" w:cs="Times New Roman"/>
        </w:rPr>
        <w:t xml:space="preserve"> </w:t>
      </w:r>
      <w:r w:rsidRPr="007E35B7">
        <w:rPr>
          <w:rStyle w:val="css-1jxf684"/>
          <w:rFonts w:ascii="Times New Roman" w:hAnsi="Times New Roman" w:cs="Times New Roman"/>
        </w:rPr>
        <w:t xml:space="preserve">Geriatric UTIs in Sokoto are predominantly healthcare-associated, with </w:t>
      </w:r>
      <w:r w:rsidRPr="007E35B7">
        <w:rPr>
          <w:rStyle w:val="css-1jxf684"/>
          <w:rFonts w:ascii="Times New Roman" w:hAnsi="Times New Roman" w:cs="Times New Roman"/>
          <w:i/>
        </w:rPr>
        <w:t>Staphylococcus</w:t>
      </w:r>
      <w:r w:rsidRPr="007E35B7">
        <w:rPr>
          <w:rStyle w:val="css-1jxf684"/>
          <w:rFonts w:ascii="Times New Roman" w:hAnsi="Times New Roman" w:cs="Times New Roman"/>
        </w:rPr>
        <w:t xml:space="preserve"> and </w:t>
      </w:r>
      <w:r>
        <w:rPr>
          <w:rStyle w:val="css-1jxf684"/>
          <w:rFonts w:ascii="Times New Roman" w:hAnsi="Times New Roman" w:cs="Times New Roman"/>
          <w:i/>
        </w:rPr>
        <w:t>Pseudomonas</w:t>
      </w:r>
      <w:r w:rsidRPr="007E35B7">
        <w:rPr>
          <w:rStyle w:val="css-1jxf684"/>
          <w:rFonts w:ascii="Times New Roman" w:hAnsi="Times New Roman" w:cs="Times New Roman"/>
          <w:i/>
        </w:rPr>
        <w:t xml:space="preserve"> aeruginosa</w:t>
      </w:r>
      <w:r w:rsidRPr="007E35B7">
        <w:rPr>
          <w:rStyle w:val="css-1jxf684"/>
          <w:rFonts w:ascii="Times New Roman" w:hAnsi="Times New Roman" w:cs="Times New Roman"/>
        </w:rPr>
        <w:t xml:space="preserve"> as dominant </w:t>
      </w:r>
      <w:r>
        <w:rPr>
          <w:rStyle w:val="css-1jxf684"/>
          <w:rFonts w:ascii="Times New Roman" w:hAnsi="Times New Roman" w:cs="Times New Roman"/>
        </w:rPr>
        <w:t>multi-drug resistance</w:t>
      </w:r>
      <w:r w:rsidRPr="007E35B7">
        <w:rPr>
          <w:rStyle w:val="css-1jxf684"/>
          <w:rFonts w:ascii="Times New Roman" w:hAnsi="Times New Roman" w:cs="Times New Roman"/>
        </w:rPr>
        <w:t xml:space="preserve"> pathogens. Empirical therapy is unreliable; culture-guided treatment and robust antibiotic stewardship are imperative.</w:t>
      </w:r>
    </w:p>
    <w:p w14:paraId="0CB86EF0" w14:textId="77777777" w:rsidR="00046961" w:rsidRDefault="00046961"/>
    <w:sectPr w:rsidR="00046961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A38C9AA" w14:textId="77777777" w:rsidR="00046961" w:rsidRDefault="00046961" w:rsidP="00B719C0">
    <w:pPr>
      <w:pStyle w:val="Footer"/>
      <w:jc w:val="center"/>
    </w:pPr>
    <w:r>
      <w:t>ii</w:t>
    </w: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sdt>
    <w:sdtPr>
      <w:id w:val="-795760372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30B34A65" w14:textId="77777777" w:rsidR="00046961" w:rsidRDefault="00046961">
        <w:pPr>
          <w:pStyle w:val="Footer"/>
          <w:jc w:val="cen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>
          <w:rPr>
            <w:noProof/>
          </w:rPr>
          <w:t>9</w:t>
        </w:r>
        <w:r>
          <w:rPr>
            <w:noProof/>
          </w:rPr>
          <w:fldChar w:fldCharType="end"/>
        </w:r>
      </w:p>
    </w:sdtContent>
  </w:sdt>
  <w:p w14:paraId="6939DA2F" w14:textId="77777777" w:rsidR="00046961" w:rsidRPr="00FF38EC" w:rsidRDefault="00046961" w:rsidP="00B719C0">
    <w:pPr>
      <w:pStyle w:val="Footer"/>
      <w:jc w:val="center"/>
      <w:rPr>
        <w:rFonts w:ascii="Times New Roman" w:hAnsi="Times New Roman" w:cs="Times New Roman"/>
        <w:b/>
        <w:sz w:val="24"/>
        <w:szCs w:val="24"/>
      </w:rPr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6112AFFF" w14:textId="77777777" w:rsidR="00046961" w:rsidRPr="00655902" w:rsidRDefault="00046961" w:rsidP="00B719C0">
    <w:pPr>
      <w:pStyle w:val="Footer"/>
      <w:jc w:val="center"/>
      <w:rPr>
        <w:rFonts w:ascii="Times New Roman" w:hAnsi="Times New Roman" w:cs="Times New Roman"/>
        <w:b/>
        <w:sz w:val="24"/>
        <w:szCs w:val="24"/>
      </w:rPr>
    </w:pPr>
    <w:proofErr w:type="spellStart"/>
    <w:r w:rsidRPr="00655902">
      <w:rPr>
        <w:rFonts w:ascii="Times New Roman" w:hAnsi="Times New Roman" w:cs="Times New Roman"/>
        <w:b/>
        <w:sz w:val="24"/>
        <w:szCs w:val="24"/>
      </w:rPr>
      <w:t>i</w:t>
    </w:r>
    <w:proofErr w:type="spellEnd"/>
  </w:p>
</w:ft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046961"/>
    <w:rsid w:val="00046961"/>
    <w:rsid w:val="00A4106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09532206"/>
  <w15:chartTrackingRefBased/>
  <w15:docId w15:val="{081D6FD8-242C-4B1C-AAB1-E0F11B09E7E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en-US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046961"/>
    <w:pPr>
      <w:spacing w:line="259" w:lineRule="auto"/>
    </w:pPr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046961"/>
    <w:pPr>
      <w:keepNext/>
      <w:keepLines/>
      <w:spacing w:before="360" w:after="80" w:line="278" w:lineRule="auto"/>
      <w:outlineLvl w:val="0"/>
    </w:pPr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paragraph" w:styleId="Heading2">
    <w:name w:val="heading 2"/>
    <w:basedOn w:val="Normal"/>
    <w:next w:val="Normal"/>
    <w:link w:val="Heading2Char"/>
    <w:uiPriority w:val="9"/>
    <w:semiHidden/>
    <w:unhideWhenUsed/>
    <w:qFormat/>
    <w:rsid w:val="00046961"/>
    <w:pPr>
      <w:keepNext/>
      <w:keepLines/>
      <w:spacing w:before="160" w:after="80" w:line="278" w:lineRule="auto"/>
      <w:outlineLvl w:val="1"/>
    </w:pPr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paragraph" w:styleId="Heading3">
    <w:name w:val="heading 3"/>
    <w:basedOn w:val="Normal"/>
    <w:next w:val="Normal"/>
    <w:link w:val="Heading3Char"/>
    <w:uiPriority w:val="9"/>
    <w:semiHidden/>
    <w:unhideWhenUsed/>
    <w:qFormat/>
    <w:rsid w:val="00046961"/>
    <w:pPr>
      <w:keepNext/>
      <w:keepLines/>
      <w:spacing w:before="160" w:after="80" w:line="278" w:lineRule="auto"/>
      <w:outlineLvl w:val="2"/>
    </w:pPr>
    <w:rPr>
      <w:rFonts w:eastAsiaTheme="majorEastAsia" w:cstheme="majorBidi"/>
      <w:color w:val="2F5496" w:themeColor="accent1" w:themeShade="BF"/>
      <w:sz w:val="28"/>
      <w:szCs w:val="28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046961"/>
    <w:pPr>
      <w:keepNext/>
      <w:keepLines/>
      <w:spacing w:before="80" w:after="40" w:line="278" w:lineRule="auto"/>
      <w:outlineLvl w:val="3"/>
    </w:pPr>
    <w:rPr>
      <w:rFonts w:eastAsiaTheme="majorEastAsia" w:cstheme="majorBidi"/>
      <w:i/>
      <w:iCs/>
      <w:color w:val="2F5496" w:themeColor="accent1" w:themeShade="BF"/>
      <w:sz w:val="24"/>
      <w:szCs w:val="24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046961"/>
    <w:pPr>
      <w:keepNext/>
      <w:keepLines/>
      <w:spacing w:before="80" w:after="40" w:line="278" w:lineRule="auto"/>
      <w:outlineLvl w:val="4"/>
    </w:pPr>
    <w:rPr>
      <w:rFonts w:eastAsiaTheme="majorEastAsia" w:cstheme="majorBidi"/>
      <w:color w:val="2F5496" w:themeColor="accent1" w:themeShade="BF"/>
      <w:sz w:val="24"/>
      <w:szCs w:val="24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046961"/>
    <w:pPr>
      <w:keepNext/>
      <w:keepLines/>
      <w:spacing w:before="40" w:after="0" w:line="278" w:lineRule="auto"/>
      <w:outlineLvl w:val="5"/>
    </w:pPr>
    <w:rPr>
      <w:rFonts w:eastAsiaTheme="majorEastAsia" w:cstheme="majorBidi"/>
      <w:i/>
      <w:iCs/>
      <w:color w:val="595959" w:themeColor="text1" w:themeTint="A6"/>
      <w:sz w:val="24"/>
      <w:szCs w:val="24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046961"/>
    <w:pPr>
      <w:keepNext/>
      <w:keepLines/>
      <w:spacing w:before="40" w:after="0" w:line="278" w:lineRule="auto"/>
      <w:outlineLvl w:val="6"/>
    </w:pPr>
    <w:rPr>
      <w:rFonts w:eastAsiaTheme="majorEastAsia" w:cstheme="majorBidi"/>
      <w:color w:val="595959" w:themeColor="text1" w:themeTint="A6"/>
      <w:sz w:val="24"/>
      <w:szCs w:val="24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046961"/>
    <w:pPr>
      <w:keepNext/>
      <w:keepLines/>
      <w:spacing w:after="0" w:line="278" w:lineRule="auto"/>
      <w:outlineLvl w:val="7"/>
    </w:pPr>
    <w:rPr>
      <w:rFonts w:eastAsiaTheme="majorEastAsia" w:cstheme="majorBidi"/>
      <w:i/>
      <w:iCs/>
      <w:color w:val="272727" w:themeColor="text1" w:themeTint="D8"/>
      <w:sz w:val="24"/>
      <w:szCs w:val="24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046961"/>
    <w:pPr>
      <w:keepNext/>
      <w:keepLines/>
      <w:spacing w:after="0" w:line="278" w:lineRule="auto"/>
      <w:outlineLvl w:val="8"/>
    </w:pPr>
    <w:rPr>
      <w:rFonts w:eastAsiaTheme="majorEastAsia" w:cstheme="majorBidi"/>
      <w:color w:val="272727" w:themeColor="text1" w:themeTint="D8"/>
      <w:sz w:val="24"/>
      <w:szCs w:val="24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Heading1Char">
    <w:name w:val="Heading 1 Char"/>
    <w:basedOn w:val="DefaultParagraphFont"/>
    <w:link w:val="Heading1"/>
    <w:uiPriority w:val="9"/>
    <w:rsid w:val="00046961"/>
    <w:rPr>
      <w:rFonts w:asciiTheme="majorHAnsi" w:eastAsiaTheme="majorEastAsia" w:hAnsiTheme="majorHAnsi" w:cstheme="majorBidi"/>
      <w:color w:val="2F5496" w:themeColor="accent1" w:themeShade="BF"/>
      <w:sz w:val="40"/>
      <w:szCs w:val="40"/>
    </w:rPr>
  </w:style>
  <w:style w:type="character" w:customStyle="1" w:styleId="Heading2Char">
    <w:name w:val="Heading 2 Char"/>
    <w:basedOn w:val="DefaultParagraphFont"/>
    <w:link w:val="Heading2"/>
    <w:uiPriority w:val="9"/>
    <w:semiHidden/>
    <w:rsid w:val="00046961"/>
    <w:rPr>
      <w:rFonts w:asciiTheme="majorHAnsi" w:eastAsiaTheme="majorEastAsia" w:hAnsiTheme="majorHAnsi" w:cstheme="majorBidi"/>
      <w:color w:val="2F5496" w:themeColor="accent1" w:themeShade="BF"/>
      <w:sz w:val="32"/>
      <w:szCs w:val="32"/>
    </w:rPr>
  </w:style>
  <w:style w:type="character" w:customStyle="1" w:styleId="Heading3Char">
    <w:name w:val="Heading 3 Char"/>
    <w:basedOn w:val="DefaultParagraphFont"/>
    <w:link w:val="Heading3"/>
    <w:uiPriority w:val="9"/>
    <w:semiHidden/>
    <w:rsid w:val="00046961"/>
    <w:rPr>
      <w:rFonts w:eastAsiaTheme="majorEastAsia" w:cstheme="majorBidi"/>
      <w:color w:val="2F5496" w:themeColor="accent1" w:themeShade="BF"/>
      <w:sz w:val="28"/>
      <w:szCs w:val="28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046961"/>
    <w:rPr>
      <w:rFonts w:eastAsiaTheme="majorEastAsia" w:cstheme="majorBidi"/>
      <w:i/>
      <w:iCs/>
      <w:color w:val="2F5496" w:themeColor="accent1" w:themeShade="BF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046961"/>
    <w:rPr>
      <w:rFonts w:eastAsiaTheme="majorEastAsia" w:cstheme="majorBidi"/>
      <w:color w:val="2F5496" w:themeColor="accent1" w:themeShade="B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046961"/>
    <w:rPr>
      <w:rFonts w:eastAsiaTheme="majorEastAsia" w:cstheme="majorBidi"/>
      <w:i/>
      <w:iCs/>
      <w:color w:val="595959" w:themeColor="text1" w:themeTint="A6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046961"/>
    <w:rPr>
      <w:rFonts w:eastAsiaTheme="majorEastAsia" w:cstheme="majorBidi"/>
      <w:color w:val="595959" w:themeColor="text1" w:themeTint="A6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046961"/>
    <w:rPr>
      <w:rFonts w:eastAsiaTheme="majorEastAsia" w:cstheme="majorBidi"/>
      <w:i/>
      <w:iCs/>
      <w:color w:val="272727" w:themeColor="text1" w:themeTint="D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046961"/>
    <w:rPr>
      <w:rFonts w:eastAsiaTheme="majorEastAsia" w:cstheme="majorBidi"/>
      <w:color w:val="272727" w:themeColor="text1" w:themeTint="D8"/>
    </w:rPr>
  </w:style>
  <w:style w:type="paragraph" w:styleId="Title">
    <w:name w:val="Title"/>
    <w:basedOn w:val="Normal"/>
    <w:next w:val="Normal"/>
    <w:link w:val="TitleChar"/>
    <w:uiPriority w:val="10"/>
    <w:qFormat/>
    <w:rsid w:val="00046961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itleChar">
    <w:name w:val="Title Char"/>
    <w:basedOn w:val="DefaultParagraphFont"/>
    <w:link w:val="Title"/>
    <w:uiPriority w:val="10"/>
    <w:rsid w:val="00046961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Subtitle">
    <w:name w:val="Subtitle"/>
    <w:basedOn w:val="Normal"/>
    <w:next w:val="Normal"/>
    <w:link w:val="SubtitleChar"/>
    <w:uiPriority w:val="11"/>
    <w:qFormat/>
    <w:rsid w:val="00046961"/>
    <w:pPr>
      <w:numPr>
        <w:ilvl w:val="1"/>
      </w:numPr>
      <w:spacing w:line="278" w:lineRule="auto"/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SubtitleChar">
    <w:name w:val="Subtitle Char"/>
    <w:basedOn w:val="DefaultParagraphFont"/>
    <w:link w:val="Subtitle"/>
    <w:uiPriority w:val="11"/>
    <w:rsid w:val="00046961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Quote">
    <w:name w:val="Quote"/>
    <w:basedOn w:val="Normal"/>
    <w:next w:val="Normal"/>
    <w:link w:val="QuoteChar"/>
    <w:uiPriority w:val="29"/>
    <w:qFormat/>
    <w:rsid w:val="00046961"/>
    <w:pPr>
      <w:spacing w:before="160" w:line="278" w:lineRule="auto"/>
      <w:jc w:val="center"/>
    </w:pPr>
    <w:rPr>
      <w:i/>
      <w:iCs/>
      <w:color w:val="404040" w:themeColor="text1" w:themeTint="BF"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046961"/>
    <w:rPr>
      <w:i/>
      <w:iCs/>
      <w:color w:val="404040" w:themeColor="text1" w:themeTint="BF"/>
    </w:rPr>
  </w:style>
  <w:style w:type="paragraph" w:styleId="ListParagraph">
    <w:name w:val="List Paragraph"/>
    <w:basedOn w:val="Normal"/>
    <w:uiPriority w:val="34"/>
    <w:qFormat/>
    <w:rsid w:val="00046961"/>
    <w:pPr>
      <w:spacing w:line="278" w:lineRule="auto"/>
      <w:ind w:left="720"/>
      <w:contextualSpacing/>
    </w:pPr>
    <w:rPr>
      <w:sz w:val="24"/>
      <w:szCs w:val="24"/>
    </w:rPr>
  </w:style>
  <w:style w:type="character" w:styleId="IntenseEmphasis">
    <w:name w:val="Intense Emphasis"/>
    <w:basedOn w:val="DefaultParagraphFont"/>
    <w:uiPriority w:val="21"/>
    <w:qFormat/>
    <w:rsid w:val="00046961"/>
    <w:rPr>
      <w:i/>
      <w:iCs/>
      <w:color w:val="2F5496" w:themeColor="accent1" w:themeShade="BF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046961"/>
    <w:pPr>
      <w:pBdr>
        <w:top w:val="single" w:sz="4" w:space="10" w:color="2F5496" w:themeColor="accent1" w:themeShade="BF"/>
        <w:bottom w:val="single" w:sz="4" w:space="10" w:color="2F5496" w:themeColor="accent1" w:themeShade="BF"/>
      </w:pBdr>
      <w:spacing w:before="360" w:after="360" w:line="278" w:lineRule="auto"/>
      <w:ind w:left="864" w:right="864"/>
      <w:jc w:val="center"/>
    </w:pPr>
    <w:rPr>
      <w:i/>
      <w:iCs/>
      <w:color w:val="2F5496" w:themeColor="accent1" w:themeShade="BF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046961"/>
    <w:rPr>
      <w:i/>
      <w:iCs/>
      <w:color w:val="2F5496" w:themeColor="accent1" w:themeShade="BF"/>
    </w:rPr>
  </w:style>
  <w:style w:type="character" w:styleId="IntenseReference">
    <w:name w:val="Intense Reference"/>
    <w:basedOn w:val="DefaultParagraphFont"/>
    <w:uiPriority w:val="32"/>
    <w:qFormat/>
    <w:rsid w:val="00046961"/>
    <w:rPr>
      <w:b/>
      <w:bCs/>
      <w:smallCaps/>
      <w:color w:val="2F5496" w:themeColor="accent1" w:themeShade="BF"/>
      <w:spacing w:val="5"/>
    </w:rPr>
  </w:style>
  <w:style w:type="character" w:customStyle="1" w:styleId="css-1jxf684">
    <w:name w:val="css-1jxf684"/>
    <w:basedOn w:val="DefaultParagraphFont"/>
    <w:rsid w:val="00046961"/>
  </w:style>
  <w:style w:type="paragraph" w:styleId="Footer">
    <w:name w:val="footer"/>
    <w:basedOn w:val="Normal"/>
    <w:link w:val="FooterChar"/>
    <w:uiPriority w:val="99"/>
    <w:unhideWhenUsed/>
    <w:rsid w:val="00046961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046961"/>
    <w:rPr>
      <w:sz w:val="22"/>
      <w:szCs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footer" Target="footer3.xml"/><Relationship Id="rId5" Type="http://schemas.openxmlformats.org/officeDocument/2006/relationships/footer" Target="footer2.xml"/><Relationship Id="rId4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2</Pages>
  <Words>245</Words>
  <Characters>1399</Characters>
  <Application>Microsoft Office Word</Application>
  <DocSecurity>0</DocSecurity>
  <Lines>11</Lines>
  <Paragraphs>3</Paragraphs>
  <ScaleCrop>false</ScaleCrop>
  <Company/>
  <LinksUpToDate>false</LinksUpToDate>
  <CharactersWithSpaces>1641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ICT</dc:creator>
  <cp:keywords/>
  <dc:description/>
  <cp:lastModifiedBy>ICT</cp:lastModifiedBy>
  <cp:revision>1</cp:revision>
  <dcterms:created xsi:type="dcterms:W3CDTF">2026-05-11T07:59:00Z</dcterms:created>
  <dcterms:modified xsi:type="dcterms:W3CDTF">2026-05-11T08:00:00Z</dcterms:modified>
</cp:coreProperties>
</file>