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42BE" w14:textId="77777777" w:rsidR="00DF5FC4" w:rsidRPr="00A65ACF" w:rsidRDefault="00DF5FC4" w:rsidP="00DF5FC4">
      <w:pPr>
        <w:pStyle w:val="BodyText"/>
        <w:spacing w:line="240" w:lineRule="auto"/>
      </w:pPr>
      <w:r w:rsidRPr="00A65ACF">
        <w:t xml:space="preserve">Soil-Transmitted Helminth (STH) infections and </w:t>
      </w:r>
      <w:proofErr w:type="spellStart"/>
      <w:r w:rsidRPr="00A65ACF">
        <w:t>anaemia</w:t>
      </w:r>
      <w:proofErr w:type="spellEnd"/>
      <w:r w:rsidRPr="00A65ACF">
        <w:t xml:space="preserve"> remain major public health challenges, particularly among children in low-resource settings. This study assessed the prevalence and association between soil transmitted helminths and </w:t>
      </w:r>
      <w:proofErr w:type="spellStart"/>
      <w:r w:rsidRPr="00A65ACF">
        <w:t>anaemia</w:t>
      </w:r>
      <w:proofErr w:type="spellEnd"/>
      <w:r w:rsidRPr="00A65ACF">
        <w:t xml:space="preserve"> among rural children in </w:t>
      </w:r>
      <w:proofErr w:type="spellStart"/>
      <w:r w:rsidRPr="00A65ACF">
        <w:t>Sanyinna</w:t>
      </w:r>
      <w:proofErr w:type="spellEnd"/>
      <w:r w:rsidRPr="00A65ACF">
        <w:t xml:space="preserve"> town, Sokoto. A total of 194 stool and blood samples were collected and examined for STH species, other intestinal parasites, and </w:t>
      </w:r>
      <w:proofErr w:type="spellStart"/>
      <w:r w:rsidRPr="00A65ACF">
        <w:t>haemoglobin</w:t>
      </w:r>
      <w:proofErr w:type="spellEnd"/>
      <w:r w:rsidRPr="00A65ACF">
        <w:t xml:space="preserve"> levels using standard parasitological techniques. The prevalence of STH infection was 7.7% (15/194), while </w:t>
      </w:r>
      <w:proofErr w:type="spellStart"/>
      <w:r w:rsidRPr="00A65ACF">
        <w:t>anaemia</w:t>
      </w:r>
      <w:proofErr w:type="spellEnd"/>
      <w:r w:rsidRPr="00A65ACF">
        <w:t xml:space="preserve"> was more common at 21.6% (42/194). Other intestinal parasites accounted for 4.6% (9/194) of cases. A significant association was found between STH infection and </w:t>
      </w:r>
      <w:proofErr w:type="spellStart"/>
      <w:r w:rsidRPr="00A65ACF">
        <w:t>anaemia</w:t>
      </w:r>
      <w:proofErr w:type="spellEnd"/>
      <w:r w:rsidRPr="00A65ACF">
        <w:t xml:space="preserve">, with 66.7% of STH-positive participants being </w:t>
      </w:r>
      <w:proofErr w:type="spellStart"/>
      <w:r w:rsidRPr="00A65ACF">
        <w:t>anaemic</w:t>
      </w:r>
      <w:proofErr w:type="spellEnd"/>
      <w:r w:rsidRPr="00A65ACF">
        <w:t xml:space="preserve"> compared to 17.9% of STH-negative participants (p = 0.001). Hookworm (9 cases) and </w:t>
      </w:r>
      <w:r w:rsidRPr="00A65ACF">
        <w:rPr>
          <w:i/>
          <w:iCs/>
        </w:rPr>
        <w:t>Ascaris lumbricoides</w:t>
      </w:r>
      <w:r w:rsidRPr="00A65ACF">
        <w:t xml:space="preserve"> (6 cases) </w:t>
      </w:r>
      <w:proofErr w:type="gramStart"/>
      <w:r w:rsidRPr="00A65ACF">
        <w:t>were  detected</w:t>
      </w:r>
      <w:proofErr w:type="gramEnd"/>
      <w:r w:rsidRPr="00A65ACF">
        <w:t xml:space="preserve"> STH species. Mild and moderate </w:t>
      </w:r>
      <w:proofErr w:type="spellStart"/>
      <w:r w:rsidRPr="00A65ACF">
        <w:t>anaemia</w:t>
      </w:r>
      <w:proofErr w:type="spellEnd"/>
      <w:r w:rsidRPr="00A65ACF">
        <w:t xml:space="preserve"> were observed among 46.6% and 20% of infected individuals, respectively, with no cases of severe </w:t>
      </w:r>
      <w:proofErr w:type="spellStart"/>
      <w:r w:rsidRPr="00A65ACF">
        <w:t>anaemia</w:t>
      </w:r>
      <w:proofErr w:type="spellEnd"/>
      <w:r w:rsidRPr="00A65ACF">
        <w:t xml:space="preserve">. Sex was not significantly associated with STH infection (p = 0.079) or </w:t>
      </w:r>
      <w:proofErr w:type="spellStart"/>
      <w:r w:rsidRPr="00A65ACF">
        <w:t>anaemia</w:t>
      </w:r>
      <w:proofErr w:type="spellEnd"/>
      <w:r w:rsidRPr="00A65ACF">
        <w:t xml:space="preserve"> (p = 0.203). Age did not significantly influence STH infection (p = 0.661), but was strongly associated with </w:t>
      </w:r>
      <w:proofErr w:type="spellStart"/>
      <w:r w:rsidRPr="00A65ACF">
        <w:t>anaemia</w:t>
      </w:r>
      <w:proofErr w:type="spellEnd"/>
      <w:r w:rsidRPr="00A65ACF">
        <w:t xml:space="preserve"> (p = 0.0001), with children aged 5–9 years exhibiting the highest prevalence. Although STH prevalence was relatively low, STH infection had a significant impact on </w:t>
      </w:r>
      <w:proofErr w:type="spellStart"/>
      <w:r w:rsidRPr="00A65ACF">
        <w:t>anaemia</w:t>
      </w:r>
      <w:proofErr w:type="spellEnd"/>
      <w:r w:rsidRPr="00A65ACF">
        <w:t xml:space="preserve">. Hookworm and Ascaris infections were associated with mild to moderate reductions in </w:t>
      </w:r>
      <w:proofErr w:type="spellStart"/>
      <w:r w:rsidRPr="00A65ACF">
        <w:t>haemoglobin</w:t>
      </w:r>
      <w:proofErr w:type="spellEnd"/>
      <w:r w:rsidRPr="00A65ACF">
        <w:t xml:space="preserve"> levels. Age was a major predictor of </w:t>
      </w:r>
      <w:proofErr w:type="spellStart"/>
      <w:r w:rsidRPr="00A65ACF">
        <w:t>anaemia</w:t>
      </w:r>
      <w:proofErr w:type="spellEnd"/>
      <w:r w:rsidRPr="00A65ACF">
        <w:t xml:space="preserve">, while sex showed no significant influence. Integrated control measures, including regular deworming, improved nutrition, sanitation, and targeted interventions for high-risk age groups, are recommended to reduce the burden of </w:t>
      </w:r>
      <w:proofErr w:type="spellStart"/>
      <w:r w:rsidRPr="00A65ACF">
        <w:t>anaemia</w:t>
      </w:r>
      <w:proofErr w:type="spellEnd"/>
      <w:r w:rsidRPr="00A65ACF">
        <w:t xml:space="preserve"> and STH infections.</w:t>
      </w:r>
    </w:p>
    <w:p w14:paraId="1A2F486C" w14:textId="77777777" w:rsidR="00DF5FC4" w:rsidRDefault="00DF5FC4"/>
    <w:sectPr w:rsidR="00DF5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C4"/>
    <w:rsid w:val="00B93CB6"/>
    <w:rsid w:val="00D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FE90"/>
  <w15:chartTrackingRefBased/>
  <w15:docId w15:val="{B7CC2736-E4C6-4457-AD29-8C1A80E1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F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F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F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F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FC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DF5FC4"/>
    <w:pPr>
      <w:jc w:val="both"/>
    </w:pPr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DF5FC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2026-05-26T08:42:00Z</dcterms:created>
  <dcterms:modified xsi:type="dcterms:W3CDTF">2026-05-26T08:42:00Z</dcterms:modified>
</cp:coreProperties>
</file>