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80B09" w14:textId="77777777" w:rsidR="00DF104C" w:rsidRPr="00E3278D" w:rsidRDefault="00DF104C" w:rsidP="00DF10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78D">
        <w:rPr>
          <w:rFonts w:ascii="Times New Roman" w:hAnsi="Times New Roman"/>
          <w:sz w:val="24"/>
          <w:szCs w:val="24"/>
        </w:rPr>
        <w:t>Prostate cancer (</w:t>
      </w:r>
      <w:proofErr w:type="spellStart"/>
      <w:r w:rsidRPr="00E3278D">
        <w:rPr>
          <w:rFonts w:ascii="Times New Roman" w:hAnsi="Times New Roman"/>
          <w:sz w:val="24"/>
          <w:szCs w:val="24"/>
        </w:rPr>
        <w:t>PCa</w:t>
      </w:r>
      <w:proofErr w:type="spellEnd"/>
      <w:r w:rsidRPr="00E3278D">
        <w:rPr>
          <w:rFonts w:ascii="Times New Roman" w:hAnsi="Times New Roman"/>
          <w:sz w:val="24"/>
          <w:szCs w:val="24"/>
        </w:rPr>
        <w:t xml:space="preserve">) remains a significant global health burden, and while chemotherapeutic regimens are effective, they often induce myelotoxicity. This study was conducted at </w:t>
      </w:r>
      <w:proofErr w:type="spellStart"/>
      <w:r w:rsidRPr="00E3278D">
        <w:rPr>
          <w:rFonts w:ascii="Times New Roman" w:hAnsi="Times New Roman"/>
          <w:sz w:val="24"/>
          <w:szCs w:val="24"/>
        </w:rPr>
        <w:t>Usmanu</w:t>
      </w:r>
      <w:proofErr w:type="spellEnd"/>
      <w:r w:rsidRPr="00E32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278D">
        <w:rPr>
          <w:rFonts w:ascii="Times New Roman" w:hAnsi="Times New Roman"/>
          <w:sz w:val="24"/>
          <w:szCs w:val="24"/>
        </w:rPr>
        <w:t>Danfodiyo</w:t>
      </w:r>
      <w:proofErr w:type="spellEnd"/>
      <w:r w:rsidRPr="00E3278D">
        <w:rPr>
          <w:rFonts w:ascii="Times New Roman" w:hAnsi="Times New Roman"/>
          <w:sz w:val="24"/>
          <w:szCs w:val="24"/>
        </w:rPr>
        <w:t xml:space="preserve"> University Teaching Hospital (UDUTH), Sokoto, evaluated the impact of the Paclitaxel-Epirubicin regimen on peripheral immune cell profiles in </w:t>
      </w:r>
      <w:proofErr w:type="spellStart"/>
      <w:r w:rsidRPr="00E3278D">
        <w:rPr>
          <w:rFonts w:ascii="Times New Roman" w:hAnsi="Times New Roman"/>
          <w:sz w:val="24"/>
          <w:szCs w:val="24"/>
        </w:rPr>
        <w:t>PCa</w:t>
      </w:r>
      <w:proofErr w:type="spellEnd"/>
      <w:r w:rsidRPr="00E3278D">
        <w:rPr>
          <w:rFonts w:ascii="Times New Roman" w:hAnsi="Times New Roman"/>
          <w:sz w:val="24"/>
          <w:szCs w:val="24"/>
        </w:rPr>
        <w:t xml:space="preserve"> patients. Using Full Blood Count (FBC), peripheral immune cell counts were compared before and after the regimen, and across five consecutive doses, with analysis performed using Wilcoxon matched-pairs and Friedman tests. The results demonstrated significant post-chemotherapy reductions in neutrophils, basophils, monocytes, and lymphocytes (all p &lt; 0.0001), with neutrophils showing a marked drop from 37.8% to </w:t>
      </w:r>
      <w:r>
        <w:rPr>
          <w:rFonts w:ascii="Times New Roman" w:hAnsi="Times New Roman"/>
          <w:sz w:val="24"/>
          <w:szCs w:val="24"/>
        </w:rPr>
        <w:t>20</w:t>
      </w:r>
      <w:r w:rsidRPr="00E327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18</w:t>
      </w:r>
      <w:r w:rsidRPr="00E3278D">
        <w:rPr>
          <w:rFonts w:ascii="Times New Roman" w:hAnsi="Times New Roman"/>
          <w:sz w:val="24"/>
          <w:szCs w:val="24"/>
        </w:rPr>
        <w:t xml:space="preserve">% (p &lt; 0.0001), contrasting with no significant change in eosinophil counts (p = 0.454). In conclusion, the Paclitaxel-Epirubicin regimen causes pronounced myelotoxicity; the Absolute Neutrophil Count (ANC) thus emerges as the most sensitive and reliable routine marker of cumulative </w:t>
      </w:r>
      <w:proofErr w:type="spellStart"/>
      <w:r w:rsidRPr="00E3278D">
        <w:rPr>
          <w:rFonts w:ascii="Times New Roman" w:hAnsi="Times New Roman"/>
          <w:sz w:val="24"/>
          <w:szCs w:val="24"/>
        </w:rPr>
        <w:t>haematological</w:t>
      </w:r>
      <w:proofErr w:type="spellEnd"/>
      <w:r w:rsidRPr="00E3278D">
        <w:rPr>
          <w:rFonts w:ascii="Times New Roman" w:hAnsi="Times New Roman"/>
          <w:sz w:val="24"/>
          <w:szCs w:val="24"/>
        </w:rPr>
        <w:t xml:space="preserve"> toxicity, and an early decrease in monocyte levels may serve as a potential predictive indicator for impending neutropenia, which is vital for guiding supportive-care protocols.</w:t>
      </w:r>
    </w:p>
    <w:p w14:paraId="49235BE7" w14:textId="77777777" w:rsidR="00DF104C" w:rsidRDefault="00DF104C"/>
    <w:sectPr w:rsidR="00DF1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4C"/>
    <w:rsid w:val="009C1262"/>
    <w:rsid w:val="00D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85D6"/>
  <w15:chartTrackingRefBased/>
  <w15:docId w15:val="{658E44FC-9F19-4183-8BFE-5D7A676B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04C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10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0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0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0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0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04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04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04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04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0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0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0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0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0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0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0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0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0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1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0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1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04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1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0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10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0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0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0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2026-04-30T11:48:00Z</dcterms:created>
  <dcterms:modified xsi:type="dcterms:W3CDTF">2026-04-30T11:49:00Z</dcterms:modified>
</cp:coreProperties>
</file>