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260E3" w14:textId="77777777" w:rsidR="002A0B0F" w:rsidRDefault="002A0B0F" w:rsidP="002A0B0F">
      <w:pPr>
        <w:spacing w:before="100" w:beforeAutospacing="1" w:after="100" w:afterAutospacing="1" w:line="240" w:lineRule="auto"/>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 xml:space="preserve">Antimicrobial resistance remains a major public health challenge, necessitating reliable laboratory methods for determining bacterial susceptibility. This study aimed to compare the disc diffusion and serial dilution methods to evaluate their accuracy and level of agreement in antimicrobial susceptibility testing (AST). Twenty (20) bacterial isolates comprising </w:t>
      </w:r>
      <w:r>
        <w:rPr>
          <w:rFonts w:ascii="Times New Roman" w:eastAsia="Times New Roman" w:hAnsi="Times New Roman"/>
          <w:i/>
          <w:iCs/>
          <w:sz w:val="24"/>
          <w:szCs w:val="24"/>
          <w:lang w:eastAsia="en-US"/>
        </w:rPr>
        <w:t>Escherichia coli</w:t>
      </w:r>
      <w:r>
        <w:rPr>
          <w:rFonts w:ascii="Times New Roman" w:eastAsia="Times New Roman" w:hAnsi="Times New Roman"/>
          <w:i/>
          <w:sz w:val="24"/>
          <w:szCs w:val="24"/>
          <w:lang w:eastAsia="en-US"/>
        </w:rPr>
        <w:t xml:space="preserve">, </w:t>
      </w:r>
      <w:r>
        <w:rPr>
          <w:rFonts w:ascii="Times New Roman" w:eastAsia="Times New Roman" w:hAnsi="Times New Roman"/>
          <w:i/>
          <w:iCs/>
          <w:sz w:val="24"/>
          <w:szCs w:val="24"/>
          <w:lang w:eastAsia="en-US"/>
        </w:rPr>
        <w:t>Klebsiella pneumoniae</w:t>
      </w:r>
      <w:r>
        <w:rPr>
          <w:rFonts w:ascii="Times New Roman" w:eastAsia="Times New Roman" w:hAnsi="Times New Roman"/>
          <w:i/>
          <w:sz w:val="24"/>
          <w:szCs w:val="24"/>
          <w:lang w:eastAsia="en-US"/>
        </w:rPr>
        <w:t xml:space="preserve">, </w:t>
      </w:r>
      <w:r>
        <w:rPr>
          <w:rFonts w:ascii="Times New Roman" w:eastAsia="Times New Roman" w:hAnsi="Times New Roman"/>
          <w:i/>
          <w:iCs/>
          <w:sz w:val="24"/>
          <w:szCs w:val="24"/>
          <w:lang w:eastAsia="en-US"/>
        </w:rPr>
        <w:t>Pseudomonas aeruginosa</w:t>
      </w:r>
      <w:r>
        <w:rPr>
          <w:rFonts w:ascii="Times New Roman" w:eastAsia="Times New Roman" w:hAnsi="Times New Roman"/>
          <w:i/>
          <w:sz w:val="24"/>
          <w:szCs w:val="24"/>
          <w:lang w:eastAsia="en-US"/>
        </w:rPr>
        <w:t xml:space="preserve">, </w:t>
      </w:r>
      <w:r>
        <w:rPr>
          <w:rFonts w:ascii="Times New Roman" w:eastAsia="Times New Roman" w:hAnsi="Times New Roman"/>
          <w:sz w:val="24"/>
          <w:szCs w:val="24"/>
          <w:lang w:eastAsia="en-US"/>
        </w:rPr>
        <w:t>and</w:t>
      </w:r>
      <w:r>
        <w:rPr>
          <w:rFonts w:ascii="Times New Roman" w:eastAsia="Times New Roman" w:hAnsi="Times New Roman"/>
          <w:i/>
          <w:sz w:val="24"/>
          <w:szCs w:val="24"/>
          <w:lang w:eastAsia="en-US"/>
        </w:rPr>
        <w:t xml:space="preserve"> </w:t>
      </w:r>
      <w:r>
        <w:rPr>
          <w:rFonts w:ascii="Times New Roman" w:eastAsia="Times New Roman" w:hAnsi="Times New Roman"/>
          <w:i/>
          <w:iCs/>
          <w:sz w:val="24"/>
          <w:szCs w:val="24"/>
          <w:lang w:eastAsia="en-US"/>
        </w:rPr>
        <w:t>Staphylococcus</w:t>
      </w:r>
      <w:r>
        <w:rPr>
          <w:rFonts w:ascii="Times New Roman" w:eastAsia="Times New Roman" w:hAnsi="Times New Roman"/>
          <w:iCs/>
          <w:sz w:val="24"/>
          <w:szCs w:val="24"/>
          <w:lang w:eastAsia="en-US"/>
        </w:rPr>
        <w:t xml:space="preserve"> </w:t>
      </w:r>
      <w:r>
        <w:rPr>
          <w:rFonts w:ascii="Times New Roman" w:eastAsia="Times New Roman" w:hAnsi="Times New Roman"/>
          <w:i/>
          <w:iCs/>
          <w:sz w:val="24"/>
          <w:szCs w:val="24"/>
          <w:lang w:eastAsia="en-US"/>
        </w:rPr>
        <w:t>aureus</w:t>
      </w:r>
      <w:r>
        <w:rPr>
          <w:rFonts w:ascii="Times New Roman" w:eastAsia="Times New Roman" w:hAnsi="Times New Roman"/>
          <w:i/>
          <w:sz w:val="24"/>
          <w:szCs w:val="24"/>
          <w:lang w:eastAsia="en-US"/>
        </w:rPr>
        <w:t xml:space="preserve"> </w:t>
      </w:r>
      <w:r>
        <w:rPr>
          <w:rFonts w:ascii="Times New Roman" w:eastAsia="Times New Roman" w:hAnsi="Times New Roman"/>
          <w:sz w:val="24"/>
          <w:szCs w:val="24"/>
          <w:lang w:eastAsia="en-US"/>
        </w:rPr>
        <w:t>were identified through Gram staining and biochemical tests, then tested using both methods following CLSI guidelines. Results revealed a high level of resistance, particularly to ciprofloxacin and amoxicillin, with both methods producing comparable interpretations. Statistical analysis showed no significant difference (p &gt; 0.05) and a Cohen’s Kappa value of 0.88, indicating almost perfect agreement. The study concludes that both methods are reliable for AST; however, while disc diffusion is simple and cost-effective for routine diagnostics, the serial dilution method offers greater precision for determining minimum inhibitory concentrations (MICs).</w:t>
      </w:r>
    </w:p>
    <w:p w14:paraId="276B9CAA" w14:textId="77777777" w:rsidR="002A0B0F" w:rsidRDefault="002A0B0F" w:rsidP="002A0B0F">
      <w:pPr>
        <w:ind w:left="90"/>
        <w:rPr>
          <w:rFonts w:ascii="Times New Roman" w:hAnsi="Times New Roman"/>
        </w:rPr>
      </w:pPr>
    </w:p>
    <w:p w14:paraId="72E0C87F" w14:textId="77777777" w:rsidR="002A0B0F" w:rsidRDefault="002A0B0F"/>
    <w:sectPr w:rsidR="002A0B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0F"/>
    <w:rsid w:val="002A0B0F"/>
    <w:rsid w:val="00504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97D46"/>
  <w15:chartTrackingRefBased/>
  <w15:docId w15:val="{BEBF06B7-4DCA-4051-B7FC-71AEB78FC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0F"/>
    <w:pPr>
      <w:spacing w:after="200" w:line="276" w:lineRule="auto"/>
    </w:pPr>
    <w:rPr>
      <w:rFonts w:ascii="Calibri" w:eastAsia="SimSun" w:hAnsi="Calibri" w:cs="Times New Roman"/>
      <w:kern w:val="0"/>
      <w:sz w:val="22"/>
      <w:szCs w:val="22"/>
      <w:lang w:eastAsia="zh-CN"/>
      <w14:ligatures w14:val="none"/>
    </w:rPr>
  </w:style>
  <w:style w:type="paragraph" w:styleId="Heading1">
    <w:name w:val="heading 1"/>
    <w:basedOn w:val="Normal"/>
    <w:next w:val="Normal"/>
    <w:link w:val="Heading1Char"/>
    <w:uiPriority w:val="9"/>
    <w:qFormat/>
    <w:rsid w:val="002A0B0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A0B0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A0B0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A0B0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2A0B0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2A0B0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2A0B0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2A0B0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2A0B0F"/>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B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0B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0B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0B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A0B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A0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B0F"/>
    <w:rPr>
      <w:rFonts w:eastAsiaTheme="majorEastAsia" w:cstheme="majorBidi"/>
      <w:color w:val="272727" w:themeColor="text1" w:themeTint="D8"/>
    </w:rPr>
  </w:style>
  <w:style w:type="paragraph" w:styleId="Title">
    <w:name w:val="Title"/>
    <w:basedOn w:val="Normal"/>
    <w:next w:val="Normal"/>
    <w:link w:val="TitleChar"/>
    <w:uiPriority w:val="10"/>
    <w:qFormat/>
    <w:rsid w:val="002A0B0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A0B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B0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A0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B0F"/>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2A0B0F"/>
    <w:rPr>
      <w:i/>
      <w:iCs/>
      <w:color w:val="404040" w:themeColor="text1" w:themeTint="BF"/>
    </w:rPr>
  </w:style>
  <w:style w:type="paragraph" w:styleId="ListParagraph">
    <w:name w:val="List Paragraph"/>
    <w:basedOn w:val="Normal"/>
    <w:uiPriority w:val="34"/>
    <w:qFormat/>
    <w:rsid w:val="002A0B0F"/>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2A0B0F"/>
    <w:rPr>
      <w:i/>
      <w:iCs/>
      <w:color w:val="2F5496" w:themeColor="accent1" w:themeShade="BF"/>
    </w:rPr>
  </w:style>
  <w:style w:type="paragraph" w:styleId="IntenseQuote">
    <w:name w:val="Intense Quote"/>
    <w:basedOn w:val="Normal"/>
    <w:next w:val="Normal"/>
    <w:link w:val="IntenseQuoteChar"/>
    <w:uiPriority w:val="30"/>
    <w:qFormat/>
    <w:rsid w:val="002A0B0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2A0B0F"/>
    <w:rPr>
      <w:i/>
      <w:iCs/>
      <w:color w:val="2F5496" w:themeColor="accent1" w:themeShade="BF"/>
    </w:rPr>
  </w:style>
  <w:style w:type="character" w:styleId="IntenseReference">
    <w:name w:val="Intense Reference"/>
    <w:basedOn w:val="DefaultParagraphFont"/>
    <w:uiPriority w:val="32"/>
    <w:qFormat/>
    <w:rsid w:val="002A0B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949</Characters>
  <Application>Microsoft Office Word</Application>
  <DocSecurity>0</DocSecurity>
  <Lines>7</Lines>
  <Paragraphs>2</Paragraphs>
  <ScaleCrop>false</ScaleCrop>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2026-05-11T08:51:00Z</dcterms:created>
  <dcterms:modified xsi:type="dcterms:W3CDTF">2026-05-11T08:52:00Z</dcterms:modified>
</cp:coreProperties>
</file>