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
        <w:spacing w:after="240" w:lineRule="auto" w:line="360"/>
        <w:jc w:val="center"/>
        <w:rPr>
          <w:rFonts w:ascii="Times New Roman" w:hAnsi="Times New Roman"/>
          <w:color w:val="ffffff"/>
          <w:sz w:val="24"/>
          <w:szCs w:val="24"/>
        </w:rPr>
      </w:pPr>
      <w:bookmarkStart w:id="0" w:name="_Toc213344907"/>
      <w:r>
        <w:rPr>
          <w:rFonts w:ascii="Times New Roman" w:hAnsi="Times New Roman"/>
          <w:color w:val="ffffff"/>
          <w:sz w:val="24"/>
          <w:szCs w:val="24"/>
        </w:rPr>
        <w:t>Title page</w:t>
      </w:r>
      <w:bookmarkEnd w:id="0"/>
    </w:p>
    <w:p>
      <w:pPr>
        <w:pStyle w:val="style0"/>
        <w:spacing w:before="240" w:after="240" w:lineRule="auto" w:line="3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EVALUATION OF HEAVY METALS IN THREE VARIETIES OF </w:t>
      </w:r>
      <w:r>
        <w:rPr>
          <w:rFonts w:ascii="Times New Roman" w:cs="Times New Roman" w:hAnsi="Times New Roman"/>
          <w:b/>
          <w:color w:val="000000"/>
          <w:sz w:val="24"/>
          <w:szCs w:val="24"/>
        </w:rPr>
        <w:t>SACHET</w:t>
      </w:r>
    </w:p>
    <w:p>
      <w:pPr>
        <w:pStyle w:val="style0"/>
        <w:spacing w:before="240" w:after="240" w:lineRule="auto" w:line="3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TOMATO PASTE</w:t>
      </w:r>
    </w:p>
    <w:p>
      <w:pPr>
        <w:pStyle w:val="style0"/>
        <w:spacing w:before="240" w:after="240" w:lineRule="auto" w:line="360"/>
        <w:jc w:val="both"/>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BY</w:t>
      </w:r>
    </w:p>
    <w:p>
      <w:pPr>
        <w:pStyle w:val="style0"/>
        <w:spacing w:before="240" w:after="240" w:lineRule="auto" w:line="360"/>
        <w:jc w:val="both"/>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HAUWA ABDULKADIR</w:t>
      </w:r>
    </w:p>
    <w:p>
      <w:pPr>
        <w:pStyle w:val="style0"/>
        <w:spacing w:before="240" w:after="240" w:lineRule="auto" w:line="3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(2010312017)</w:t>
      </w:r>
    </w:p>
    <w:p>
      <w:pPr>
        <w:pStyle w:val="style0"/>
        <w:spacing w:before="240" w:after="240" w:lineRule="auto" w:line="360"/>
        <w:jc w:val="both"/>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bCs/>
          <w:color w:val="000000"/>
          <w:sz w:val="24"/>
          <w:szCs w:val="24"/>
        </w:rPr>
      </w:pPr>
      <w:r>
        <w:rPr>
          <w:rFonts w:ascii="Times New Roman" w:cs="Times New Roman" w:eastAsia="Calibri" w:hAnsi="Times New Roman"/>
          <w:b/>
          <w:bCs/>
          <w:color w:val="000000"/>
          <w:sz w:val="24"/>
          <w:szCs w:val="24"/>
        </w:rPr>
        <w:t>A RESEARCH PROJECT SUMMITTED TO THE DEPARTMENT OF ENERGY AND APPLIED CHEMISTRY, FACULTY OF CHEMCAL AND LIFE SCIENCE, USMANU DANFODIYO UNIVERSITY SOKOTO.</w:t>
      </w:r>
    </w:p>
    <w:p>
      <w:pPr>
        <w:pStyle w:val="style0"/>
        <w:spacing w:before="240" w:after="240" w:lineRule="auto" w:line="360"/>
        <w:jc w:val="center"/>
        <w:rPr>
          <w:rFonts w:ascii="Times New Roman" w:cs="Times New Roman" w:hAnsi="Times New Roman"/>
          <w:b/>
          <w:bCs/>
          <w:color w:val="000000"/>
          <w:sz w:val="24"/>
          <w:szCs w:val="24"/>
        </w:rPr>
      </w:pPr>
      <w:r>
        <w:rPr>
          <w:rFonts w:ascii="Times New Roman" w:cs="Times New Roman" w:eastAsia="Calibri" w:hAnsi="Times New Roman"/>
          <w:b/>
          <w:bCs/>
          <w:color w:val="000000"/>
          <w:sz w:val="24"/>
          <w:szCs w:val="24"/>
        </w:rPr>
        <w:t>IN PARTIAL FULFILMENT OF THE REQUIREMENT FOR THE AWARD OF DEGREE OF BACHELLOR OF SCIENCE (</w:t>
      </w:r>
      <w:r>
        <w:rPr>
          <w:rFonts w:ascii="Times New Roman" w:cs="Times New Roman" w:eastAsia="Calibri" w:hAnsi="Times New Roman"/>
          <w:b/>
          <w:bCs/>
          <w:color w:val="000000"/>
          <w:sz w:val="24"/>
          <w:szCs w:val="24"/>
        </w:rPr>
        <w:t>BSc.Hons</w:t>
      </w:r>
      <w:r>
        <w:rPr>
          <w:rFonts w:ascii="Times New Roman" w:cs="Times New Roman" w:eastAsia="Calibri" w:hAnsi="Times New Roman"/>
          <w:b/>
          <w:bCs/>
          <w:color w:val="000000"/>
          <w:sz w:val="24"/>
          <w:szCs w:val="24"/>
        </w:rPr>
        <w:t>) DEGREE IN ENERGY AND APPLIED CHEMISTRY.</w:t>
      </w:r>
    </w:p>
    <w:p>
      <w:pPr>
        <w:pStyle w:val="style0"/>
        <w:spacing w:before="240" w:after="240" w:lineRule="auto" w:line="360"/>
        <w:jc w:val="both"/>
        <w:rPr>
          <w:rFonts w:ascii="Times New Roman" w:cs="Times New Roman" w:hAnsi="Times New Roman"/>
          <w:b/>
          <w:color w:val="000000"/>
          <w:sz w:val="24"/>
          <w:szCs w:val="24"/>
        </w:rPr>
      </w:pPr>
    </w:p>
    <w:p>
      <w:pPr>
        <w:pStyle w:val="style0"/>
        <w:spacing w:before="240" w:after="240" w:lineRule="auto" w:line="360"/>
        <w:jc w:val="both"/>
        <w:rPr>
          <w:rFonts w:ascii="Times New Roman" w:cs="Times New Roman" w:hAnsi="Times New Roman"/>
          <w:b/>
          <w:color w:val="000000"/>
          <w:sz w:val="24"/>
          <w:szCs w:val="24"/>
        </w:rPr>
      </w:pPr>
    </w:p>
    <w:p>
      <w:pPr>
        <w:pStyle w:val="style0"/>
        <w:spacing w:before="240" w:after="240" w:lineRule="auto" w:line="360"/>
        <w:jc w:val="both"/>
        <w:rPr>
          <w:rFonts w:ascii="Times New Roman" w:cs="Times New Roman" w:hAnsi="Times New Roman"/>
          <w:b/>
          <w:color w:val="000000"/>
          <w:sz w:val="24"/>
          <w:szCs w:val="24"/>
        </w:rPr>
      </w:pPr>
    </w:p>
    <w:p>
      <w:pPr>
        <w:pStyle w:val="style0"/>
        <w:spacing w:before="240" w:after="240" w:lineRule="auto" w:line="360"/>
        <w:jc w:val="both"/>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NOVEMBER, 2025.</w:t>
      </w:r>
    </w:p>
    <w:bookmarkStart w:id="1" w:name="_Toc213344908"/>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DEDICATION</w:t>
      </w:r>
      <w:bookmarkEnd w:id="1"/>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 dedicate this work to my parents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bookmarkStart w:id="2" w:name="_Toc213344909"/>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APPROVAL PAGE</w:t>
      </w:r>
      <w:bookmarkEnd w:id="2"/>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This is to certify that this research project report by HAUWA ABDULKADIR (2010312017) has met the requirements for the award of the Bachelor of Science Degree (Hons) in Applied Chemistry of the </w:t>
      </w:r>
      <w:r>
        <w:rPr>
          <w:rFonts w:ascii="Times New Roman" w:cs="Times New Roman" w:hAnsi="Times New Roman"/>
          <w:color w:val="000000"/>
          <w:sz w:val="24"/>
          <w:szCs w:val="24"/>
        </w:rPr>
        <w:t>Usmanu</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Danfodiyo</w:t>
      </w:r>
      <w:r>
        <w:rPr>
          <w:rFonts w:ascii="Times New Roman" w:cs="Times New Roman" w:hAnsi="Times New Roman"/>
          <w:color w:val="000000"/>
          <w:sz w:val="24"/>
          <w:szCs w:val="24"/>
        </w:rPr>
        <w:t xml:space="preserve"> University, Sokoto and is approved for its contribution to knowledge.</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_____________________</w:t>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_____________________</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Prof. M. G. LIMAN                                                                                       </w:t>
      </w:r>
      <w:r>
        <w:rPr>
          <w:rFonts w:ascii="Times New Roman" w:cs="Times New Roman" w:hAnsi="Times New Roman"/>
          <w:color w:val="000000"/>
          <w:sz w:val="24"/>
          <w:szCs w:val="24"/>
        </w:rPr>
        <w:tab/>
      </w:r>
      <w:r>
        <w:rPr>
          <w:rFonts w:ascii="Times New Roman" w:cs="Times New Roman" w:hAnsi="Times New Roman"/>
          <w:color w:val="000000"/>
          <w:sz w:val="24"/>
          <w:szCs w:val="24"/>
        </w:rPr>
        <w:t xml:space="preserve">Date                                                                   </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(Project Supervisor)                                                                                   </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 ____________________             </w:t>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 xml:space="preserve">_____________________                                                                                               </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Dr. Aliyu Muhammad</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  External Examiner                                                                                </w:t>
      </w:r>
      <w:r>
        <w:rPr>
          <w:rFonts w:ascii="Times New Roman" w:cs="Times New Roman" w:hAnsi="Times New Roman"/>
          <w:color w:val="000000"/>
          <w:sz w:val="24"/>
          <w:szCs w:val="24"/>
        </w:rPr>
        <w:tab/>
      </w:r>
      <w:r>
        <w:rPr>
          <w:rFonts w:ascii="Times New Roman" w:cs="Times New Roman" w:hAnsi="Times New Roman"/>
          <w:color w:val="000000"/>
          <w:sz w:val="24"/>
          <w:szCs w:val="24"/>
        </w:rPr>
        <w:t xml:space="preserve">Date      </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_____________________</w:t>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_____________________</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PROF. M. L.  Mohammed                                                                  </w:t>
      </w:r>
      <w:r>
        <w:rPr>
          <w:rFonts w:ascii="Times New Roman" w:cs="Times New Roman" w:hAnsi="Times New Roman"/>
          <w:color w:val="000000"/>
          <w:sz w:val="24"/>
          <w:szCs w:val="24"/>
        </w:rPr>
        <w:tab/>
      </w:r>
      <w:r>
        <w:rPr>
          <w:rFonts w:ascii="Times New Roman" w:cs="Times New Roman" w:hAnsi="Times New Roman"/>
          <w:color w:val="000000"/>
          <w:sz w:val="24"/>
          <w:szCs w:val="24"/>
        </w:rPr>
        <w:t xml:space="preserve">        Date                                                                        </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Head of Department                                                                                </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b/>
      </w:r>
    </w:p>
    <w:p>
      <w:pPr>
        <w:pStyle w:val="style0"/>
        <w:spacing w:after="0" w:lineRule="auto" w:line="240"/>
        <w:rPr>
          <w:rFonts w:ascii="Times New Roman" w:cs="Times New Roman" w:eastAsia="宋体" w:hAnsi="Times New Roman"/>
          <w:color w:val="000000"/>
          <w:sz w:val="24"/>
          <w:szCs w:val="24"/>
        </w:rPr>
      </w:pPr>
      <w:r>
        <w:rPr>
          <w:rFonts w:ascii="Times New Roman" w:cs="Times New Roman" w:hAnsi="Times New Roman"/>
          <w:color w:val="000000"/>
          <w:sz w:val="24"/>
          <w:szCs w:val="24"/>
        </w:rPr>
        <w:br w:type="page"/>
      </w:r>
    </w:p>
    <w:bookmarkStart w:id="3" w:name="_Toc213344910"/>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DECLARATION</w:t>
      </w:r>
      <w:bookmarkEnd w:id="3"/>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I, </w:t>
      </w:r>
      <w:r>
        <w:rPr>
          <w:rFonts w:ascii="Times New Roman" w:cs="Times New Roman" w:hAnsi="Times New Roman"/>
          <w:color w:val="000000"/>
          <w:sz w:val="24"/>
          <w:szCs w:val="24"/>
        </w:rPr>
        <w:t>Hauwa</w:t>
      </w:r>
      <w:r>
        <w:rPr>
          <w:rFonts w:ascii="Times New Roman" w:cs="Times New Roman" w:hAnsi="Times New Roman"/>
          <w:color w:val="000000"/>
          <w:sz w:val="24"/>
          <w:szCs w:val="24"/>
        </w:rPr>
        <w:t xml:space="preserve"> Abdulkadir (Admission Number: 2010312017), hereby declare that this research project titled “Evaluation of Heavy Metals in Three Varieties </w:t>
      </w:r>
      <w:r>
        <w:rPr>
          <w:rFonts w:ascii="Times New Roman" w:cs="Times New Roman" w:hAnsi="Times New Roman"/>
          <w:color w:val="000000"/>
          <w:sz w:val="24"/>
          <w:szCs w:val="24"/>
        </w:rPr>
        <w:t xml:space="preserve">of </w:t>
      </w:r>
      <w:r>
        <w:rPr>
          <w:rFonts w:ascii="Times New Roman" w:cs="Times New Roman" w:hAnsi="Times New Roman"/>
          <w:color w:val="000000"/>
          <w:sz w:val="24"/>
          <w:szCs w:val="24"/>
        </w:rPr>
        <w:t>sachet</w:t>
      </w:r>
      <w:r>
        <w:rPr>
          <w:rFonts w:ascii="Times New Roman" w:cs="Times New Roman" w:hAnsi="Times New Roman"/>
          <w:bCs/>
          <w:color w:val="000000"/>
          <w:sz w:val="24"/>
          <w:szCs w:val="24"/>
        </w:rPr>
        <w:t xml:space="preserve"> </w:t>
      </w:r>
      <w:r>
        <w:rPr>
          <w:rFonts w:ascii="Times New Roman" w:cs="Times New Roman" w:hAnsi="Times New Roman"/>
          <w:color w:val="000000"/>
          <w:sz w:val="24"/>
          <w:szCs w:val="24"/>
        </w:rPr>
        <w:t xml:space="preserve">Tomato Paste” was carried out by me in the Department of Applied Chemistry, </w:t>
      </w:r>
      <w:r>
        <w:rPr>
          <w:rFonts w:ascii="Times New Roman" w:cs="Times New Roman" w:hAnsi="Times New Roman"/>
          <w:color w:val="000000"/>
          <w:sz w:val="24"/>
          <w:szCs w:val="24"/>
        </w:rPr>
        <w:t>Usmanu</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Danfodiyo</w:t>
      </w:r>
      <w:r>
        <w:rPr>
          <w:rFonts w:ascii="Times New Roman" w:cs="Times New Roman" w:hAnsi="Times New Roman"/>
          <w:color w:val="000000"/>
          <w:sz w:val="24"/>
          <w:szCs w:val="24"/>
        </w:rPr>
        <w:t xml:space="preserve"> University, Sokoto.</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work contained in this project is original and has not been submitted in part or in full for the award of any degree or diploma in this or any other institution. All sources of information have been duly acknowledged through references.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Hauwa</w:t>
      </w:r>
      <w:r>
        <w:rPr>
          <w:rFonts w:ascii="Times New Roman" w:cs="Times New Roman" w:hAnsi="Times New Roman"/>
          <w:color w:val="000000"/>
          <w:sz w:val="24"/>
          <w:szCs w:val="24"/>
        </w:rPr>
        <w:t xml:space="preserve"> Abdulkadir</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(2010312017)</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Date</w:t>
      </w:r>
    </w:p>
    <w:p>
      <w:pPr>
        <w:pStyle w:val="style0"/>
        <w:spacing w:before="240" w:after="240" w:lineRule="auto" w:line="360"/>
        <w:jc w:val="center"/>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p>
    <w:p>
      <w:pPr>
        <w:pStyle w:val="style0"/>
        <w:spacing w:before="240" w:after="240" w:lineRule="auto" w:line="360"/>
        <w:jc w:val="center"/>
        <w:rPr>
          <w:rFonts w:ascii="Times New Roman" w:cs="Times New Roman" w:hAnsi="Times New Roman"/>
          <w:b/>
          <w:color w:val="000000"/>
          <w:sz w:val="24"/>
          <w:szCs w:val="24"/>
        </w:rPr>
      </w:pPr>
    </w:p>
    <w:bookmarkStart w:id="4" w:name="_Toc213344911"/>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ACKNOWLEDGEMENT</w:t>
      </w:r>
      <w:r>
        <w:rPr>
          <w:rFonts w:ascii="Times New Roman" w:hAnsi="Times New Roman"/>
          <w:b/>
          <w:bCs/>
          <w:color w:val="000000"/>
          <w:sz w:val="24"/>
          <w:szCs w:val="24"/>
        </w:rPr>
        <w:t>S</w:t>
      </w:r>
      <w:bookmarkEnd w:id="4"/>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In the name of Allah, the Most Gracious, the Most Merciful. All praise and gratitude are due to Allah for His infinite mercy, guidance, and countless blessings that have made the completion of this research possible.</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 wish to express my sincere and heartfelt gratitude to my supervisor, Prof. M. G. Liman, whose invaluable guidance, encouragement, and constructive suggestions have greatly contributed to the successful completion of this research work.</w:t>
      </w:r>
      <w:r>
        <w:rPr>
          <w:rFonts w:ascii="Times New Roman" w:cs="Times New Roman" w:hAnsi="Times New Roman"/>
          <w:color w:val="000000"/>
          <w:sz w:val="24"/>
          <w:szCs w:val="24"/>
        </w:rPr>
        <w:t xml:space="preserve"> I would also like to acknowledge the efforts and assistance of my lecturers, laboratory technologists, and the entire staff of the Department of Pure and Applied Chemistry for their guidance and support during the course of this research.</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Special thanks to my beloved parents, Engr. Abdulkadir Muhammad </w:t>
      </w:r>
      <w:r>
        <w:rPr>
          <w:rFonts w:ascii="Times New Roman" w:cs="Times New Roman" w:hAnsi="Times New Roman"/>
          <w:color w:val="000000"/>
          <w:sz w:val="24"/>
          <w:szCs w:val="24"/>
        </w:rPr>
        <w:t>Yabo</w:t>
      </w:r>
      <w:r>
        <w:rPr>
          <w:rFonts w:ascii="Times New Roman" w:cs="Times New Roman" w:hAnsi="Times New Roman"/>
          <w:color w:val="000000"/>
          <w:sz w:val="24"/>
          <w:szCs w:val="24"/>
        </w:rPr>
        <w:t xml:space="preserve"> and </w:t>
      </w:r>
      <w:r>
        <w:rPr>
          <w:rFonts w:ascii="Times New Roman" w:cs="Times New Roman" w:hAnsi="Times New Roman"/>
          <w:color w:val="000000"/>
          <w:sz w:val="24"/>
          <w:szCs w:val="24"/>
        </w:rPr>
        <w:t>Hajiya</w:t>
      </w:r>
      <w:r>
        <w:rPr>
          <w:rFonts w:ascii="Times New Roman" w:cs="Times New Roman" w:hAnsi="Times New Roman"/>
          <w:color w:val="000000"/>
          <w:sz w:val="24"/>
          <w:szCs w:val="24"/>
        </w:rPr>
        <w:t xml:space="preserve"> Fatima Bello, for their constant prayers, love, and unwavering support. My heartfelt appreciation also goes to the memory of my late grandpa, whose blessings continue to inspire me. I also extend my gratitude to my brothers, Muhammad Abdulkadir and Ibrahim Abdulkadir, as well as my uncle, </w:t>
      </w:r>
      <w:r>
        <w:rPr>
          <w:rFonts w:ascii="Times New Roman" w:cs="Times New Roman" w:hAnsi="Times New Roman"/>
          <w:color w:val="000000"/>
          <w:sz w:val="24"/>
          <w:szCs w:val="24"/>
        </w:rPr>
        <w:t>Abdullateef</w:t>
      </w:r>
      <w:r>
        <w:rPr>
          <w:rFonts w:ascii="Times New Roman" w:cs="Times New Roman" w:hAnsi="Times New Roman"/>
          <w:color w:val="000000"/>
          <w:sz w:val="24"/>
          <w:szCs w:val="24"/>
        </w:rPr>
        <w:t xml:space="preserve"> Bello, for their love, motivation, and encouragement throughout this journey.</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My heartfelt appreciation also goes to my wonderful friends Maryam Aliyu </w:t>
      </w:r>
      <w:r>
        <w:rPr>
          <w:rFonts w:ascii="Times New Roman" w:cs="Times New Roman" w:hAnsi="Times New Roman"/>
          <w:color w:val="000000"/>
          <w:sz w:val="24"/>
          <w:szCs w:val="24"/>
        </w:rPr>
        <w:t>Brini</w:t>
      </w:r>
      <w:r>
        <w:rPr>
          <w:rFonts w:ascii="Times New Roman" w:cs="Times New Roman" w:hAnsi="Times New Roman"/>
          <w:color w:val="000000"/>
          <w:sz w:val="24"/>
          <w:szCs w:val="24"/>
        </w:rPr>
        <w:t xml:space="preserve"> Kebbi, Fatima Tahir Alkali, </w:t>
      </w:r>
      <w:r>
        <w:rPr>
          <w:rFonts w:ascii="Times New Roman" w:cs="Times New Roman" w:hAnsi="Times New Roman"/>
          <w:color w:val="000000"/>
          <w:sz w:val="24"/>
          <w:szCs w:val="24"/>
        </w:rPr>
        <w:t>Asma’u</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Nura</w:t>
      </w:r>
      <w:r>
        <w:rPr>
          <w:rFonts w:ascii="Times New Roman" w:cs="Times New Roman" w:hAnsi="Times New Roman"/>
          <w:color w:val="000000"/>
          <w:sz w:val="24"/>
          <w:szCs w:val="24"/>
        </w:rPr>
        <w:t xml:space="preserve"> Sidi, Fatima </w:t>
      </w:r>
      <w:r>
        <w:rPr>
          <w:rFonts w:ascii="Times New Roman" w:cs="Times New Roman" w:hAnsi="Times New Roman"/>
          <w:color w:val="000000"/>
          <w:sz w:val="24"/>
          <w:szCs w:val="24"/>
        </w:rPr>
        <w:t>Attahir</w:t>
      </w:r>
      <w:r>
        <w:rPr>
          <w:rFonts w:ascii="Times New Roman" w:cs="Times New Roman" w:hAnsi="Times New Roman"/>
          <w:color w:val="000000"/>
          <w:sz w:val="24"/>
          <w:szCs w:val="24"/>
        </w:rPr>
        <w:t xml:space="preserve">, Zainab Aliyu, Aisha Aliyu, and Amina </w:t>
      </w:r>
      <w:r>
        <w:rPr>
          <w:rFonts w:ascii="Times New Roman" w:cs="Times New Roman" w:hAnsi="Times New Roman"/>
          <w:color w:val="000000"/>
          <w:sz w:val="24"/>
          <w:szCs w:val="24"/>
        </w:rPr>
        <w:t>Karofi</w:t>
      </w:r>
      <w:r>
        <w:rPr>
          <w:rFonts w:ascii="Times New Roman" w:cs="Times New Roman" w:hAnsi="Times New Roman"/>
          <w:color w:val="000000"/>
          <w:sz w:val="24"/>
          <w:szCs w:val="24"/>
        </w:rPr>
        <w:t>, Maryam Idris Aliyu for their constant encouragement, companionship, and invaluable moral support. Their friendship made this academic journey truly fulfilling and memorable.</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bookmarkStart w:id="5" w:name="_Toc213344912"/>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ABSTRACT</w:t>
      </w:r>
      <w:bookmarkEnd w:id="5"/>
    </w:p>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study titled “Evaluation of Some Heavy Metals in </w:t>
      </w:r>
      <w:r>
        <w:rPr>
          <w:rFonts w:ascii="Times New Roman" w:cs="Times New Roman" w:hAnsi="Times New Roman"/>
          <w:bCs/>
          <w:color w:val="000000"/>
          <w:sz w:val="24"/>
          <w:szCs w:val="24"/>
        </w:rPr>
        <w:t xml:space="preserve">sachet </w:t>
      </w:r>
      <w:r>
        <w:rPr>
          <w:rFonts w:ascii="Times New Roman" w:cs="Times New Roman" w:hAnsi="Times New Roman"/>
          <w:color w:val="000000"/>
          <w:sz w:val="24"/>
          <w:szCs w:val="24"/>
        </w:rPr>
        <w:t xml:space="preserve">Tomato Paste” was conducted to determine the concentrations of selected heavy metals — Cadmium (Cd), Chromium (Cr), Manganese (Mn), Arsenic (As), and Lead (Pb) — in different brands of tomato paste commonly consumed in Sokoto Metropolis, northwestern Nigeria. The research aimed to assess the safety levels of these products in relation to established international standards and to evaluate potential health risks associated with their </w:t>
      </w:r>
      <w:r>
        <w:rPr>
          <w:rFonts w:ascii="Times New Roman" w:cs="Times New Roman" w:hAnsi="Times New Roman"/>
          <w:color w:val="000000"/>
          <w:sz w:val="24"/>
          <w:szCs w:val="24"/>
        </w:rPr>
        <w:t>consumption.Three</w:t>
      </w:r>
      <w:r>
        <w:rPr>
          <w:rFonts w:ascii="Times New Roman" w:cs="Times New Roman" w:hAnsi="Times New Roman"/>
          <w:color w:val="000000"/>
          <w:sz w:val="24"/>
          <w:szCs w:val="24"/>
        </w:rPr>
        <w:t xml:space="preserve"> tomato paste brands, labeled Sample D, Sample G, and Sample N, were randomly purchased from retail outlets within Sokoto metropolis. The samples were digested using the acid digestion method as described by AOAC (2005) with slight modifications, employing a mixture of concentrated nitric acid (HNO₃), hydrogen peroxide (H₂O₂), and hydrochloric acid (HCl). The concentrations of metals were analyzed using Atomic Absorption Spectrophotometry (AAS).</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The mean concentrations (mg/L) obtained for the samples were as follows: Cd (0.00077), Cr (0.00943), Mn (0.00210), As (0.01547), and Pb (0.04703). The results revealed that Cd, Cr, Mn, and </w:t>
      </w:r>
      <w:r>
        <w:rPr>
          <w:rFonts w:ascii="Times New Roman" w:cs="Times New Roman" w:hAnsi="Times New Roman"/>
          <w:color w:val="000000"/>
          <w:sz w:val="24"/>
          <w:szCs w:val="24"/>
        </w:rPr>
        <w:t>As</w:t>
      </w:r>
      <w:r>
        <w:rPr>
          <w:rFonts w:ascii="Times New Roman" w:cs="Times New Roman" w:hAnsi="Times New Roman"/>
          <w:color w:val="000000"/>
          <w:sz w:val="24"/>
          <w:szCs w:val="24"/>
        </w:rPr>
        <w:t xml:space="preserve"> concentrations were below the permissible limits set by the World Health Organization (WHO, 2011) and the Food and Agriculture Organization (FAO, 2013), indicating that the products were generally safe for consumption. However, the Pb concentration in one sample (0.0724 mg/L) exceeded the WHO permissible limit (0.05 mg/L), suggesting possible contamination during processing or </w:t>
      </w:r>
      <w:r>
        <w:rPr>
          <w:rFonts w:ascii="Times New Roman" w:cs="Times New Roman" w:hAnsi="Times New Roman"/>
          <w:color w:val="000000"/>
          <w:sz w:val="24"/>
          <w:szCs w:val="24"/>
        </w:rPr>
        <w:t>storage.Statistical</w:t>
      </w:r>
      <w:r>
        <w:rPr>
          <w:rFonts w:ascii="Times New Roman" w:cs="Times New Roman" w:hAnsi="Times New Roman"/>
          <w:color w:val="000000"/>
          <w:sz w:val="24"/>
          <w:szCs w:val="24"/>
        </w:rPr>
        <w:t xml:space="preserve"> analysis showed that the relative standard deviations (RSD%) for most metals were within acceptable limits (&lt;10%), except for arsenic and lead, which exhibited higher variability. The overall findings indicate that while the tomato paste samples analyzed are largely safe, the elevated lead concentration in one brand poses potential health risks.</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It is recommended that regular monitoring of heavy metals in tomato paste and related food products be carried out by regulatory bodies to ensure consumer safety and compliance with international food quality standards.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bookmarkStart w:id="6" w:name="_Toc213344913"/>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TABLE OF CONTENTS</w:t>
      </w:r>
      <w:bookmarkEnd w:id="6"/>
    </w:p>
    <w:p>
      <w:pPr>
        <w:pStyle w:val="style266"/>
        <w:rPr/>
      </w:pPr>
      <w:r>
        <w:t>Contents</w:t>
      </w:r>
    </w:p>
    <w:p>
      <w:pPr>
        <w:pStyle w:val="style19"/>
        <w:tabs>
          <w:tab w:val="right" w:leader="dot" w:pos="9350"/>
        </w:tabs>
        <w:rPr>
          <w:noProof/>
        </w:rPr>
      </w:pPr>
      <w:r>
        <w:rPr/>
        <w:fldChar w:fldCharType="begin"/>
      </w:r>
      <w:r>
        <w:instrText xml:space="preserve"> TOC \o "1-3" \h \z \u </w:instrText>
      </w:r>
      <w:r>
        <w:rPr/>
        <w:fldChar w:fldCharType="separate"/>
      </w:r>
      <w:r>
        <w:rPr/>
        <w:fldChar w:fldCharType="begin"/>
      </w:r>
      <w:r>
        <w:instrText xml:space="preserve"> HYPERLINK \l "_Toc213344907" </w:instrText>
      </w:r>
      <w:r>
        <w:rPr/>
        <w:fldChar w:fldCharType="separate"/>
      </w:r>
      <w:r>
        <w:rPr>
          <w:rStyle w:val="style85"/>
          <w:rFonts w:ascii="Times New Roman" w:hAnsi="Times New Roman"/>
          <w:noProof/>
        </w:rPr>
        <w:t>Title page</w:t>
      </w:r>
      <w:r>
        <w:rPr>
          <w:noProof/>
          <w:webHidden/>
        </w:rPr>
        <w:tab/>
      </w:r>
      <w:r>
        <w:rPr>
          <w:noProof/>
          <w:webHidden/>
        </w:rPr>
        <w:fldChar w:fldCharType="begin"/>
      </w:r>
      <w:r>
        <w:rPr>
          <w:noProof/>
          <w:webHidden/>
        </w:rPr>
        <w:instrText xml:space="preserve"> PAGEREF _Toc213344907 \h </w:instrText>
      </w:r>
      <w:r>
        <w:rPr>
          <w:noProof/>
          <w:webHidden/>
        </w:rPr>
        <w:fldChar w:fldCharType="separate"/>
      </w:r>
      <w:r>
        <w:rPr>
          <w:noProof/>
          <w:webHidden/>
        </w:rPr>
        <w:t>i</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"_Toc213344908" </w:instrText>
      </w:r>
      <w:r>
        <w:rPr/>
        <w:fldChar w:fldCharType="separate"/>
      </w:r>
      <w:r>
        <w:rPr>
          <w:rStyle w:val="style85"/>
          <w:rFonts w:ascii="Times New Roman" w:hAnsi="Times New Roman"/>
          <w:b/>
          <w:bCs/>
          <w:noProof/>
        </w:rPr>
        <w:t>DEDICATION</w:t>
      </w:r>
      <w:r>
        <w:rPr>
          <w:noProof/>
          <w:webHidden/>
        </w:rPr>
        <w:tab/>
      </w:r>
      <w:r>
        <w:rPr>
          <w:noProof/>
          <w:webHidden/>
        </w:rPr>
        <w:fldChar w:fldCharType="begin"/>
      </w:r>
      <w:r>
        <w:rPr>
          <w:noProof/>
          <w:webHidden/>
        </w:rPr>
        <w:instrText xml:space="preserve"> PAGEREF _Toc213344908 \h </w:instrText>
      </w:r>
      <w:r>
        <w:rPr>
          <w:noProof/>
          <w:webHidden/>
        </w:rPr>
        <w:fldChar w:fldCharType="separate"/>
      </w:r>
      <w:r>
        <w:rPr>
          <w:noProof/>
          <w:webHidden/>
        </w:rPr>
        <w:t>ii</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"_Toc213344909" </w:instrText>
      </w:r>
      <w:r>
        <w:rPr/>
        <w:fldChar w:fldCharType="separate"/>
      </w:r>
      <w:r>
        <w:rPr>
          <w:rStyle w:val="style85"/>
          <w:rFonts w:ascii="Times New Roman" w:hAnsi="Times New Roman"/>
          <w:b/>
          <w:bCs/>
          <w:noProof/>
        </w:rPr>
        <w:t>APPROVAL PAGE</w:t>
      </w:r>
      <w:r>
        <w:rPr>
          <w:noProof/>
          <w:webHidden/>
        </w:rPr>
        <w:tab/>
      </w:r>
      <w:r>
        <w:rPr>
          <w:noProof/>
          <w:webHidden/>
        </w:rPr>
        <w:fldChar w:fldCharType="begin"/>
      </w:r>
      <w:r>
        <w:rPr>
          <w:noProof/>
          <w:webHidden/>
        </w:rPr>
        <w:instrText xml:space="preserve"> PAGEREF _Toc213344909 \h </w:instrText>
      </w:r>
      <w:r>
        <w:rPr>
          <w:noProof/>
          <w:webHidden/>
        </w:rPr>
        <w:fldChar w:fldCharType="separate"/>
      </w:r>
      <w:r>
        <w:rPr>
          <w:noProof/>
          <w:webHidden/>
        </w:rPr>
        <w:t>iii</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"_Toc213344910" </w:instrText>
      </w:r>
      <w:r>
        <w:rPr/>
        <w:fldChar w:fldCharType="separate"/>
      </w:r>
      <w:r>
        <w:rPr>
          <w:rStyle w:val="style85"/>
          <w:rFonts w:ascii="Times New Roman" w:hAnsi="Times New Roman"/>
          <w:b/>
          <w:bCs/>
          <w:noProof/>
        </w:rPr>
        <w:t>DECLARATION</w:t>
      </w:r>
      <w:r>
        <w:rPr>
          <w:noProof/>
          <w:webHidden/>
        </w:rPr>
        <w:tab/>
      </w:r>
      <w:r>
        <w:rPr>
          <w:noProof/>
          <w:webHidden/>
        </w:rPr>
        <w:fldChar w:fldCharType="begin"/>
      </w:r>
      <w:r>
        <w:rPr>
          <w:noProof/>
          <w:webHidden/>
        </w:rPr>
        <w:instrText xml:space="preserve"> PAGEREF _Toc213344910 \h </w:instrText>
      </w:r>
      <w:r>
        <w:rPr>
          <w:noProof/>
          <w:webHidden/>
        </w:rPr>
        <w:fldChar w:fldCharType="separate"/>
      </w:r>
      <w:r>
        <w:rPr>
          <w:noProof/>
          <w:webHidden/>
        </w:rPr>
        <w:t>iv</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"_Toc213344911" </w:instrText>
      </w:r>
      <w:r>
        <w:rPr/>
        <w:fldChar w:fldCharType="separate"/>
      </w:r>
      <w:r>
        <w:rPr>
          <w:rStyle w:val="style85"/>
          <w:rFonts w:ascii="Times New Roman" w:hAnsi="Times New Roman"/>
          <w:b/>
          <w:bCs/>
          <w:noProof/>
        </w:rPr>
        <w:t>ACKNOWLEDGEMENTS</w:t>
      </w:r>
      <w:r>
        <w:rPr>
          <w:noProof/>
          <w:webHidden/>
        </w:rPr>
        <w:tab/>
      </w:r>
      <w:r>
        <w:rPr>
          <w:noProof/>
          <w:webHidden/>
        </w:rPr>
        <w:fldChar w:fldCharType="begin"/>
      </w:r>
      <w:r>
        <w:rPr>
          <w:noProof/>
          <w:webHidden/>
        </w:rPr>
        <w:instrText xml:space="preserve"> PAGEREF _Toc213344911 \h </w:instrText>
      </w:r>
      <w:r>
        <w:rPr>
          <w:noProof/>
          <w:webHidden/>
        </w:rPr>
        <w:fldChar w:fldCharType="separate"/>
      </w:r>
      <w:r>
        <w:rPr>
          <w:noProof/>
          <w:webHidden/>
        </w:rPr>
        <w:t>v</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"_Toc213344912" </w:instrText>
      </w:r>
      <w:r>
        <w:rPr/>
        <w:fldChar w:fldCharType="separate"/>
      </w:r>
      <w:r>
        <w:rPr>
          <w:rStyle w:val="style85"/>
          <w:rFonts w:ascii="Times New Roman" w:hAnsi="Times New Roman"/>
          <w:b/>
          <w:bCs/>
          <w:noProof/>
        </w:rPr>
        <w:t>ABSTRACT</w:t>
      </w:r>
      <w:r>
        <w:rPr>
          <w:noProof/>
          <w:webHidden/>
        </w:rPr>
        <w:tab/>
      </w:r>
      <w:r>
        <w:rPr>
          <w:noProof/>
          <w:webHidden/>
        </w:rPr>
        <w:fldChar w:fldCharType="begin"/>
      </w:r>
      <w:r>
        <w:rPr>
          <w:noProof/>
          <w:webHidden/>
        </w:rPr>
        <w:instrText xml:space="preserve"> PAGEREF _Toc213344912 \h </w:instrText>
      </w:r>
      <w:r>
        <w:rPr>
          <w:noProof/>
          <w:webHidden/>
        </w:rPr>
        <w:fldChar w:fldCharType="separate"/>
      </w:r>
      <w:r>
        <w:rPr>
          <w:noProof/>
          <w:webHidden/>
        </w:rPr>
        <w:t>vi</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"_Toc213344913" </w:instrText>
      </w:r>
      <w:r>
        <w:rPr/>
        <w:fldChar w:fldCharType="separate"/>
      </w:r>
      <w:r>
        <w:rPr>
          <w:rStyle w:val="style85"/>
          <w:rFonts w:ascii="Times New Roman" w:hAnsi="Times New Roman"/>
          <w:noProof/>
        </w:rPr>
        <w:t>TABLE OF CONTENTS</w:t>
      </w:r>
      <w:r>
        <w:rPr>
          <w:noProof/>
          <w:webHidden/>
        </w:rPr>
        <w:tab/>
      </w:r>
      <w:r>
        <w:rPr>
          <w:noProof/>
          <w:webHidden/>
        </w:rPr>
        <w:fldChar w:fldCharType="begin"/>
      </w:r>
      <w:r>
        <w:rPr>
          <w:noProof/>
          <w:webHidden/>
        </w:rPr>
        <w:instrText xml:space="preserve"> PAGEREF _Toc213344913 \h </w:instrText>
      </w:r>
      <w:r>
        <w:rPr>
          <w:noProof/>
          <w:webHidden/>
        </w:rPr>
        <w:fldChar w:fldCharType="separate"/>
      </w:r>
      <w:r>
        <w:rPr>
          <w:noProof/>
          <w:webHidden/>
        </w:rPr>
        <w:t>vii</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"_Toc213344914" </w:instrText>
      </w:r>
      <w:r>
        <w:rPr/>
        <w:fldChar w:fldCharType="separate"/>
      </w:r>
      <w:r>
        <w:rPr>
          <w:rStyle w:val="style85"/>
          <w:rFonts w:ascii="Times New Roman" w:hAnsi="Times New Roman"/>
          <w:noProof/>
        </w:rPr>
        <w:t>LIST OF TABLES</w:t>
      </w:r>
      <w:r>
        <w:rPr>
          <w:noProof/>
          <w:webHidden/>
        </w:rPr>
        <w:tab/>
      </w:r>
      <w:r>
        <w:rPr>
          <w:noProof/>
          <w:webHidden/>
        </w:rPr>
        <w:fldChar w:fldCharType="begin"/>
      </w:r>
      <w:r>
        <w:rPr>
          <w:noProof/>
          <w:webHidden/>
        </w:rPr>
        <w:instrText xml:space="preserve"> PAGEREF _Toc213344914 \h </w:instrText>
      </w:r>
      <w:r>
        <w:rPr>
          <w:noProof/>
          <w:webHidden/>
        </w:rPr>
        <w:fldChar w:fldCharType="separate"/>
      </w:r>
      <w:r>
        <w:rPr>
          <w:noProof/>
          <w:webHidden/>
        </w:rPr>
        <w:t>ix</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"_Toc213344915" </w:instrText>
      </w:r>
      <w:r>
        <w:rPr/>
        <w:fldChar w:fldCharType="separate"/>
      </w:r>
      <w:r>
        <w:rPr>
          <w:rStyle w:val="style85"/>
          <w:rFonts w:ascii="Times New Roman" w:hAnsi="Times New Roman"/>
          <w:noProof/>
        </w:rPr>
        <w:t>CHAPTER ONE</w:t>
      </w:r>
      <w:r>
        <w:rPr>
          <w:noProof/>
          <w:webHidden/>
        </w:rPr>
        <w:tab/>
      </w:r>
      <w:r>
        <w:rPr>
          <w:noProof/>
          <w:webHidden/>
        </w:rPr>
        <w:fldChar w:fldCharType="begin"/>
      </w:r>
      <w:r>
        <w:rPr>
          <w:noProof/>
          <w:webHidden/>
        </w:rPr>
        <w:instrText xml:space="preserve"> PAGEREF _Toc213344915 \h </w:instrText>
      </w:r>
      <w:r>
        <w:rPr>
          <w:noProof/>
          <w:webHidden/>
        </w:rPr>
        <w:fldChar w:fldCharType="separate"/>
      </w:r>
      <w:r>
        <w:rPr>
          <w:noProof/>
          <w:webHidden/>
        </w:rPr>
        <w:t>1</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"_Toc213344916" </w:instrText>
      </w:r>
      <w:r>
        <w:rPr/>
        <w:fldChar w:fldCharType="separate"/>
      </w:r>
      <w:r>
        <w:rPr>
          <w:rStyle w:val="style85"/>
          <w:rFonts w:ascii="Times New Roman" w:hAnsi="Times New Roman"/>
          <w:noProof/>
        </w:rPr>
        <w:t>INTRODUCTION</w:t>
      </w:r>
      <w:r>
        <w:rPr>
          <w:noProof/>
          <w:webHidden/>
        </w:rPr>
        <w:tab/>
      </w:r>
      <w:r>
        <w:rPr>
          <w:noProof/>
          <w:webHidden/>
        </w:rPr>
        <w:fldChar w:fldCharType="begin"/>
      </w:r>
      <w:r>
        <w:rPr>
          <w:noProof/>
          <w:webHidden/>
        </w:rPr>
        <w:instrText xml:space="preserve"> PAGEREF _Toc213344916 \h </w:instrText>
      </w:r>
      <w:r>
        <w:rPr>
          <w:noProof/>
          <w:webHidden/>
        </w:rPr>
        <w:fldChar w:fldCharType="separate"/>
      </w:r>
      <w:r>
        <w:rPr>
          <w:noProof/>
          <w:webHidden/>
        </w:rPr>
        <w:t>1</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"_Toc213344917" </w:instrText>
      </w:r>
      <w:r>
        <w:rPr/>
        <w:fldChar w:fldCharType="separate"/>
      </w:r>
      <w:r>
        <w:rPr>
          <w:rStyle w:val="style85"/>
          <w:rFonts w:ascii="Times New Roman" w:hAnsi="Times New Roman"/>
          <w:noProof/>
        </w:rPr>
        <w:t>1.1 Background of the Study</w:t>
      </w:r>
      <w:r>
        <w:rPr>
          <w:noProof/>
          <w:webHidden/>
        </w:rPr>
        <w:tab/>
      </w:r>
      <w:r>
        <w:rPr>
          <w:noProof/>
          <w:webHidden/>
        </w:rPr>
        <w:fldChar w:fldCharType="begin"/>
      </w:r>
      <w:r>
        <w:rPr>
          <w:noProof/>
          <w:webHidden/>
        </w:rPr>
        <w:instrText xml:space="preserve"> PAGEREF _Toc213344917 \h </w:instrText>
      </w:r>
      <w:r>
        <w:rPr>
          <w:noProof/>
          <w:webHidden/>
        </w:rPr>
        <w:fldChar w:fldCharType="separate"/>
      </w:r>
      <w:r>
        <w:rPr>
          <w:noProof/>
          <w:webHidden/>
        </w:rPr>
        <w:t>1</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"_Toc213344918" </w:instrText>
      </w:r>
      <w:r>
        <w:rPr/>
        <w:fldChar w:fldCharType="separate"/>
      </w:r>
      <w:r>
        <w:rPr>
          <w:rStyle w:val="style85"/>
          <w:rFonts w:ascii="Times New Roman" w:hAnsi="Times New Roman"/>
          <w:noProof/>
        </w:rPr>
        <w:t>1.2 Statement of the Problem</w:t>
      </w:r>
      <w:r>
        <w:rPr>
          <w:noProof/>
          <w:webHidden/>
        </w:rPr>
        <w:tab/>
      </w:r>
      <w:r>
        <w:rPr>
          <w:noProof/>
          <w:webHidden/>
        </w:rPr>
        <w:fldChar w:fldCharType="begin"/>
      </w:r>
      <w:r>
        <w:rPr>
          <w:noProof/>
          <w:webHidden/>
        </w:rPr>
        <w:instrText xml:space="preserve"> PAGEREF _Toc213344918 \h </w:instrText>
      </w:r>
      <w:r>
        <w:rPr>
          <w:noProof/>
          <w:webHidden/>
        </w:rPr>
        <w:fldChar w:fldCharType="separate"/>
      </w:r>
      <w:r>
        <w:rPr>
          <w:noProof/>
          <w:webHidden/>
        </w:rPr>
        <w:t>2</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"_Toc213344919" </w:instrText>
      </w:r>
      <w:r>
        <w:rPr/>
        <w:fldChar w:fldCharType="separate"/>
      </w:r>
      <w:r>
        <w:rPr>
          <w:rStyle w:val="style85"/>
          <w:rFonts w:ascii="Times New Roman" w:hAnsi="Times New Roman"/>
          <w:noProof/>
        </w:rPr>
        <w:t>1.3 Justification of the Study</w:t>
      </w:r>
      <w:r>
        <w:rPr>
          <w:noProof/>
          <w:webHidden/>
        </w:rPr>
        <w:tab/>
      </w:r>
      <w:r>
        <w:rPr>
          <w:noProof/>
          <w:webHidden/>
        </w:rPr>
        <w:fldChar w:fldCharType="begin"/>
      </w:r>
      <w:r>
        <w:rPr>
          <w:noProof/>
          <w:webHidden/>
        </w:rPr>
        <w:instrText xml:space="preserve"> PAGEREF _Toc213344919 \h </w:instrText>
      </w:r>
      <w:r>
        <w:rPr>
          <w:noProof/>
          <w:webHidden/>
        </w:rPr>
        <w:fldChar w:fldCharType="separate"/>
      </w:r>
      <w:r>
        <w:rPr>
          <w:noProof/>
          <w:webHidden/>
        </w:rPr>
        <w:t>2</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"_Toc213344920" </w:instrText>
      </w:r>
      <w:r>
        <w:rPr/>
        <w:fldChar w:fldCharType="separate"/>
      </w:r>
      <w:r>
        <w:rPr>
          <w:rStyle w:val="style85"/>
          <w:rFonts w:ascii="Times New Roman" w:hAnsi="Times New Roman"/>
          <w:noProof/>
        </w:rPr>
        <w:t>1.4 Aims and Objectives</w:t>
      </w:r>
      <w:r>
        <w:rPr>
          <w:noProof/>
          <w:webHidden/>
        </w:rPr>
        <w:tab/>
      </w:r>
      <w:r>
        <w:rPr>
          <w:noProof/>
          <w:webHidden/>
        </w:rPr>
        <w:fldChar w:fldCharType="begin"/>
      </w:r>
      <w:r>
        <w:rPr>
          <w:noProof/>
          <w:webHidden/>
        </w:rPr>
        <w:instrText xml:space="preserve"> PAGEREF _Toc213344920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"_Toc213344921" </w:instrText>
      </w:r>
      <w:r>
        <w:rPr/>
        <w:fldChar w:fldCharType="separate"/>
      </w:r>
      <w:r>
        <w:rPr>
          <w:rStyle w:val="style85"/>
          <w:rFonts w:ascii="Times New Roman" w:hAnsi="Times New Roman"/>
          <w:noProof/>
        </w:rPr>
        <w:t>CHAPTER TWO</w:t>
      </w:r>
      <w:r>
        <w:rPr>
          <w:noProof/>
          <w:webHidden/>
        </w:rPr>
        <w:tab/>
      </w:r>
      <w:r>
        <w:rPr>
          <w:noProof/>
          <w:webHidden/>
        </w:rPr>
        <w:fldChar w:fldCharType="begin"/>
      </w:r>
      <w:r>
        <w:rPr>
          <w:noProof/>
          <w:webHidden/>
        </w:rPr>
        <w:instrText xml:space="preserve"> PAGEREF _Toc213344921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"_Toc213344922" </w:instrText>
      </w:r>
      <w:r>
        <w:rPr/>
        <w:fldChar w:fldCharType="separate"/>
      </w:r>
      <w:r>
        <w:rPr>
          <w:rStyle w:val="style85"/>
          <w:rFonts w:ascii="Times New Roman" w:hAnsi="Times New Roman"/>
          <w:noProof/>
        </w:rPr>
        <w:t>LITERATURE REVIEW</w:t>
      </w:r>
      <w:r>
        <w:rPr>
          <w:noProof/>
          <w:webHidden/>
        </w:rPr>
        <w:tab/>
      </w:r>
      <w:r>
        <w:rPr>
          <w:noProof/>
          <w:webHidden/>
        </w:rPr>
        <w:fldChar w:fldCharType="begin"/>
      </w:r>
      <w:r>
        <w:rPr>
          <w:noProof/>
          <w:webHidden/>
        </w:rPr>
        <w:instrText xml:space="preserve"> PAGEREF _Toc213344922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"_Toc213344923" </w:instrText>
      </w:r>
      <w:r>
        <w:rPr/>
        <w:fldChar w:fldCharType="separate"/>
      </w:r>
      <w:r>
        <w:rPr>
          <w:rStyle w:val="style85"/>
          <w:rFonts w:ascii="Times New Roman" w:hAnsi="Times New Roman"/>
          <w:noProof/>
        </w:rPr>
        <w:t>2.1 Tomato Paste and Its Consumption in Nigeria</w:t>
      </w:r>
      <w:r>
        <w:rPr>
          <w:noProof/>
          <w:webHidden/>
        </w:rPr>
        <w:tab/>
      </w:r>
      <w:r>
        <w:rPr>
          <w:noProof/>
          <w:webHidden/>
        </w:rPr>
        <w:fldChar w:fldCharType="begin"/>
      </w:r>
      <w:r>
        <w:rPr>
          <w:noProof/>
          <w:webHidden/>
        </w:rPr>
        <w:instrText xml:space="preserve"> PAGEREF _Toc213344923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"_Toc213344924" </w:instrText>
      </w:r>
      <w:r>
        <w:rPr/>
        <w:fldChar w:fldCharType="separate"/>
      </w:r>
      <w:r>
        <w:rPr>
          <w:rStyle w:val="style85"/>
          <w:rFonts w:ascii="Times New Roman" w:hAnsi="Times New Roman"/>
          <w:noProof/>
        </w:rPr>
        <w:t>2.2 Heavy Metals in Food</w:t>
      </w:r>
      <w:r>
        <w:rPr>
          <w:noProof/>
          <w:webHidden/>
        </w:rPr>
        <w:tab/>
      </w:r>
      <w:r>
        <w:rPr>
          <w:noProof/>
          <w:webHidden/>
        </w:rPr>
        <w:fldChar w:fldCharType="begin"/>
      </w:r>
      <w:r>
        <w:rPr>
          <w:noProof/>
          <w:webHidden/>
        </w:rPr>
        <w:instrText xml:space="preserve"> PAGEREF _Toc213344924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"_Toc213344925" </w:instrText>
      </w:r>
      <w:r>
        <w:rPr/>
        <w:fldChar w:fldCharType="separate"/>
      </w:r>
      <w:r>
        <w:rPr>
          <w:rStyle w:val="style85"/>
          <w:rFonts w:ascii="Times New Roman" w:hAnsi="Times New Roman"/>
          <w:noProof/>
        </w:rPr>
        <w:t>2.3 Sources of Heavy Metal Contamination</w:t>
      </w:r>
      <w:r>
        <w:rPr>
          <w:noProof/>
          <w:webHidden/>
        </w:rPr>
        <w:tab/>
      </w:r>
      <w:r>
        <w:rPr>
          <w:noProof/>
          <w:webHidden/>
        </w:rPr>
        <w:fldChar w:fldCharType="begin"/>
      </w:r>
      <w:r>
        <w:rPr>
          <w:noProof/>
          <w:webHidden/>
        </w:rPr>
        <w:instrText xml:space="preserve"> PAGEREF _Toc213344925 \h </w:instrText>
      </w:r>
      <w:r>
        <w:rPr>
          <w:noProof/>
          <w:webHidden/>
        </w:rPr>
        <w:fldChar w:fldCharType="separate"/>
      </w:r>
      <w:r>
        <w:rPr>
          <w:noProof/>
          <w:webHidden/>
        </w:rPr>
        <w:t>5</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"_Toc213344926" </w:instrText>
      </w:r>
      <w:r>
        <w:rPr/>
        <w:fldChar w:fldCharType="separate"/>
      </w:r>
      <w:r>
        <w:rPr>
          <w:rStyle w:val="style85"/>
          <w:rFonts w:ascii="Times New Roman" w:hAnsi="Times New Roman"/>
          <w:noProof/>
        </w:rPr>
        <w:t>2.4 Health Effects of Selected Heavy Metals</w:t>
      </w:r>
      <w:r>
        <w:rPr>
          <w:noProof/>
          <w:webHidden/>
        </w:rPr>
        <w:tab/>
      </w:r>
      <w:r>
        <w:rPr>
          <w:noProof/>
          <w:webHidden/>
        </w:rPr>
        <w:fldChar w:fldCharType="begin"/>
      </w:r>
      <w:r>
        <w:rPr>
          <w:noProof/>
          <w:webHidden/>
        </w:rPr>
        <w:instrText xml:space="preserve"> PAGEREF _Toc213344926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"_Toc213344927" </w:instrText>
      </w:r>
      <w:r>
        <w:rPr/>
        <w:fldChar w:fldCharType="separate"/>
      </w:r>
      <w:r>
        <w:rPr>
          <w:rStyle w:val="style85"/>
          <w:rFonts w:ascii="Times New Roman" w:hAnsi="Times New Roman"/>
          <w:noProof/>
        </w:rPr>
        <w:t>CHAPTER THREE</w:t>
      </w:r>
      <w:r>
        <w:rPr>
          <w:noProof/>
          <w:webHidden/>
        </w:rPr>
        <w:tab/>
      </w:r>
      <w:r>
        <w:rPr>
          <w:noProof/>
          <w:webHidden/>
        </w:rPr>
        <w:fldChar w:fldCharType="begin"/>
      </w:r>
      <w:r>
        <w:rPr>
          <w:noProof/>
          <w:webHidden/>
        </w:rPr>
        <w:instrText xml:space="preserve"> PAGEREF _Toc213344927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"_Toc213344928" </w:instrText>
      </w:r>
      <w:r>
        <w:rPr/>
        <w:fldChar w:fldCharType="separate"/>
      </w:r>
      <w:r>
        <w:rPr>
          <w:rStyle w:val="style85"/>
          <w:rFonts w:ascii="Times New Roman" w:hAnsi="Times New Roman"/>
          <w:noProof/>
        </w:rPr>
        <w:t>MATERIALS AND METHODS</w:t>
      </w:r>
      <w:r>
        <w:rPr>
          <w:noProof/>
          <w:webHidden/>
        </w:rPr>
        <w:tab/>
      </w:r>
      <w:r>
        <w:rPr>
          <w:noProof/>
          <w:webHidden/>
        </w:rPr>
        <w:fldChar w:fldCharType="begin"/>
      </w:r>
      <w:r>
        <w:rPr>
          <w:noProof/>
          <w:webHidden/>
        </w:rPr>
        <w:instrText xml:space="preserve"> PAGEREF _Toc213344928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"_Toc213344929" </w:instrText>
      </w:r>
      <w:r>
        <w:rPr/>
        <w:fldChar w:fldCharType="separate"/>
      </w:r>
      <w:r>
        <w:rPr>
          <w:rStyle w:val="style85"/>
          <w:rFonts w:ascii="Times New Roman" w:hAnsi="Times New Roman"/>
          <w:noProof/>
        </w:rPr>
        <w:t>3.1 Materials</w:t>
      </w:r>
      <w:r>
        <w:rPr>
          <w:noProof/>
          <w:webHidden/>
        </w:rPr>
        <w:tab/>
      </w:r>
      <w:r>
        <w:rPr>
          <w:noProof/>
          <w:webHidden/>
        </w:rPr>
        <w:fldChar w:fldCharType="begin"/>
      </w:r>
      <w:r>
        <w:rPr>
          <w:noProof/>
          <w:webHidden/>
        </w:rPr>
        <w:instrText xml:space="preserve"> PAGEREF _Toc213344929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"_Toc213344930" </w:instrText>
      </w:r>
      <w:r>
        <w:rPr/>
        <w:fldChar w:fldCharType="separate"/>
      </w:r>
      <w:r>
        <w:rPr>
          <w:rStyle w:val="style85"/>
          <w:rFonts w:ascii="Times New Roman" w:hAnsi="Times New Roman"/>
          <w:noProof/>
        </w:rPr>
        <w:t>3.2. Reagents and Apparatus</w:t>
      </w:r>
      <w:r>
        <w:rPr>
          <w:noProof/>
          <w:webHidden/>
        </w:rPr>
        <w:tab/>
      </w:r>
      <w:r>
        <w:rPr>
          <w:noProof/>
          <w:webHidden/>
        </w:rPr>
        <w:fldChar w:fldCharType="begin"/>
      </w:r>
      <w:r>
        <w:rPr>
          <w:noProof/>
          <w:webHidden/>
        </w:rPr>
        <w:instrText xml:space="preserve"> PAGEREF _Toc213344930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"_Toc213344931" </w:instrText>
      </w:r>
      <w:r>
        <w:rPr/>
        <w:fldChar w:fldCharType="separate"/>
      </w:r>
      <w:r>
        <w:rPr>
          <w:rStyle w:val="style85"/>
          <w:rFonts w:ascii="Times New Roman" w:hAnsi="Times New Roman"/>
          <w:noProof/>
        </w:rPr>
        <w:t>3.2.1 Reagents</w:t>
      </w:r>
      <w:r>
        <w:rPr>
          <w:noProof/>
          <w:webHidden/>
        </w:rPr>
        <w:tab/>
      </w:r>
      <w:r>
        <w:rPr>
          <w:noProof/>
          <w:webHidden/>
        </w:rPr>
        <w:fldChar w:fldCharType="begin"/>
      </w:r>
      <w:r>
        <w:rPr>
          <w:noProof/>
          <w:webHidden/>
        </w:rPr>
        <w:instrText xml:space="preserve"> PAGEREF _Toc213344931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"_Toc213344932" </w:instrText>
      </w:r>
      <w:r>
        <w:rPr/>
        <w:fldChar w:fldCharType="separate"/>
      </w:r>
      <w:r>
        <w:rPr>
          <w:rStyle w:val="style85"/>
          <w:rFonts w:ascii="Times New Roman" w:hAnsi="Times New Roman"/>
          <w:noProof/>
        </w:rPr>
        <w:t>3.2.2 Apparatus</w:t>
      </w:r>
      <w:r>
        <w:rPr>
          <w:noProof/>
          <w:webHidden/>
        </w:rPr>
        <w:tab/>
      </w:r>
      <w:r>
        <w:rPr>
          <w:noProof/>
          <w:webHidden/>
        </w:rPr>
        <w:fldChar w:fldCharType="begin"/>
      </w:r>
      <w:r>
        <w:rPr>
          <w:noProof/>
          <w:webHidden/>
        </w:rPr>
        <w:instrText xml:space="preserve"> PAGEREF _Toc213344932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"_Toc213344933" </w:instrText>
      </w:r>
      <w:r>
        <w:rPr/>
        <w:fldChar w:fldCharType="separate"/>
      </w:r>
      <w:r>
        <w:rPr>
          <w:rStyle w:val="style85"/>
          <w:rFonts w:ascii="Times New Roman" w:hAnsi="Times New Roman"/>
          <w:noProof/>
        </w:rPr>
        <w:t>3.3 Methods</w:t>
      </w:r>
      <w:r>
        <w:rPr>
          <w:noProof/>
          <w:webHidden/>
        </w:rPr>
        <w:tab/>
      </w:r>
      <w:r>
        <w:rPr>
          <w:noProof/>
          <w:webHidden/>
        </w:rPr>
        <w:fldChar w:fldCharType="begin"/>
      </w:r>
      <w:r>
        <w:rPr>
          <w:noProof/>
          <w:webHidden/>
        </w:rPr>
        <w:instrText xml:space="preserve"> PAGEREF _Toc213344933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"_Toc213344934" </w:instrText>
      </w:r>
      <w:r>
        <w:rPr/>
        <w:fldChar w:fldCharType="separate"/>
      </w:r>
      <w:r>
        <w:rPr>
          <w:rStyle w:val="style85"/>
          <w:rFonts w:ascii="Times New Roman" w:hAnsi="Times New Roman"/>
          <w:noProof/>
        </w:rPr>
        <w:t>3.3.1 Sample Collection</w:t>
      </w:r>
      <w:r>
        <w:rPr>
          <w:noProof/>
          <w:webHidden/>
        </w:rPr>
        <w:tab/>
      </w:r>
      <w:r>
        <w:rPr>
          <w:noProof/>
          <w:webHidden/>
        </w:rPr>
        <w:fldChar w:fldCharType="begin"/>
      </w:r>
      <w:r>
        <w:rPr>
          <w:noProof/>
          <w:webHidden/>
        </w:rPr>
        <w:instrText xml:space="preserve"> PAGEREF _Toc213344934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"_Toc213344935" </w:instrText>
      </w:r>
      <w:r>
        <w:rPr/>
        <w:fldChar w:fldCharType="separate"/>
      </w:r>
      <w:r>
        <w:rPr>
          <w:rStyle w:val="style85"/>
          <w:rFonts w:ascii="Times New Roman" w:hAnsi="Times New Roman"/>
          <w:noProof/>
        </w:rPr>
        <w:t>3.3.2 Sample Preparation (Acid Digestion)</w:t>
      </w:r>
      <w:r>
        <w:rPr>
          <w:noProof/>
          <w:webHidden/>
        </w:rPr>
        <w:tab/>
      </w:r>
      <w:r>
        <w:rPr>
          <w:noProof/>
          <w:webHidden/>
        </w:rPr>
        <w:fldChar w:fldCharType="begin"/>
      </w:r>
      <w:r>
        <w:rPr>
          <w:noProof/>
          <w:webHidden/>
        </w:rPr>
        <w:instrText xml:space="preserve"> PAGEREF _Toc213344935 \h </w:instrText>
      </w:r>
      <w:r>
        <w:rPr>
          <w:noProof/>
          <w:webHidden/>
        </w:rPr>
        <w:fldChar w:fldCharType="separate"/>
      </w:r>
      <w:r>
        <w:rPr>
          <w:noProof/>
          <w:webHidden/>
        </w:rPr>
        <w:t>11</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"_Toc213344936" </w:instrText>
      </w:r>
      <w:r>
        <w:rPr/>
        <w:fldChar w:fldCharType="separate"/>
      </w:r>
      <w:r>
        <w:rPr>
          <w:rStyle w:val="style85"/>
          <w:rFonts w:ascii="Times New Roman" w:hAnsi="Times New Roman"/>
          <w:noProof/>
        </w:rPr>
        <w:t>3.3.3 Heavy Metal Analysis</w:t>
      </w:r>
      <w:r>
        <w:rPr>
          <w:noProof/>
          <w:webHidden/>
        </w:rPr>
        <w:tab/>
      </w:r>
      <w:r>
        <w:rPr>
          <w:noProof/>
          <w:webHidden/>
        </w:rPr>
        <w:fldChar w:fldCharType="begin"/>
      </w:r>
      <w:r>
        <w:rPr>
          <w:noProof/>
          <w:webHidden/>
        </w:rPr>
        <w:instrText xml:space="preserve"> PAGEREF _Toc213344936 \h </w:instrText>
      </w:r>
      <w:r>
        <w:rPr>
          <w:noProof/>
          <w:webHidden/>
        </w:rPr>
        <w:fldChar w:fldCharType="separate"/>
      </w:r>
      <w:r>
        <w:rPr>
          <w:noProof/>
          <w:webHidden/>
        </w:rPr>
        <w:t>12</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"_Toc213344937" </w:instrText>
      </w:r>
      <w:r>
        <w:rPr/>
        <w:fldChar w:fldCharType="separate"/>
      </w:r>
      <w:r>
        <w:rPr>
          <w:rStyle w:val="style85"/>
          <w:rFonts w:ascii="Times New Roman" w:hAnsi="Times New Roman"/>
          <w:noProof/>
        </w:rPr>
        <w:t>3.4 Instrumental Conditions</w:t>
      </w:r>
      <w:r>
        <w:rPr>
          <w:noProof/>
          <w:webHidden/>
        </w:rPr>
        <w:tab/>
      </w:r>
      <w:r>
        <w:rPr>
          <w:noProof/>
          <w:webHidden/>
        </w:rPr>
        <w:fldChar w:fldCharType="begin"/>
      </w:r>
      <w:r>
        <w:rPr>
          <w:noProof/>
          <w:webHidden/>
        </w:rPr>
        <w:instrText xml:space="preserve"> PAGEREF _Toc213344937 \h </w:instrText>
      </w:r>
      <w:r>
        <w:rPr>
          <w:noProof/>
          <w:webHidden/>
        </w:rPr>
        <w:fldChar w:fldCharType="separate"/>
      </w:r>
      <w:r>
        <w:rPr>
          <w:noProof/>
          <w:webHidden/>
        </w:rPr>
        <w:t>12</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"_Toc213344938" </w:instrText>
      </w:r>
      <w:r>
        <w:rPr/>
        <w:fldChar w:fldCharType="separate"/>
      </w:r>
      <w:r>
        <w:rPr>
          <w:rStyle w:val="style85"/>
          <w:rFonts w:ascii="Times New Roman" w:hAnsi="Times New Roman"/>
          <w:noProof/>
        </w:rPr>
        <w:t>3.5 Quality Control</w:t>
      </w:r>
      <w:r>
        <w:rPr>
          <w:noProof/>
          <w:webHidden/>
        </w:rPr>
        <w:tab/>
      </w:r>
      <w:r>
        <w:rPr>
          <w:noProof/>
          <w:webHidden/>
        </w:rPr>
        <w:fldChar w:fldCharType="begin"/>
      </w:r>
      <w:r>
        <w:rPr>
          <w:noProof/>
          <w:webHidden/>
        </w:rPr>
        <w:instrText xml:space="preserve"> PAGEREF _Toc213344938 \h </w:instrText>
      </w:r>
      <w:r>
        <w:rPr>
          <w:noProof/>
          <w:webHidden/>
        </w:rPr>
        <w:fldChar w:fldCharType="separate"/>
      </w:r>
      <w:r>
        <w:rPr>
          <w:noProof/>
          <w:webHidden/>
        </w:rPr>
        <w:t>13</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"_Toc213344939" </w:instrText>
      </w:r>
      <w:r>
        <w:rPr/>
        <w:fldChar w:fldCharType="separate"/>
      </w:r>
      <w:r>
        <w:rPr>
          <w:rStyle w:val="style85"/>
          <w:rFonts w:ascii="Times New Roman" w:hAnsi="Times New Roman"/>
          <w:noProof/>
        </w:rPr>
        <w:t>3.5.1 Data Analysis</w:t>
      </w:r>
      <w:r>
        <w:rPr>
          <w:noProof/>
          <w:webHidden/>
        </w:rPr>
        <w:tab/>
      </w:r>
      <w:r>
        <w:rPr>
          <w:noProof/>
          <w:webHidden/>
        </w:rPr>
        <w:fldChar w:fldCharType="begin"/>
      </w:r>
      <w:r>
        <w:rPr>
          <w:noProof/>
          <w:webHidden/>
        </w:rPr>
        <w:instrText xml:space="preserve"> PAGEREF _Toc213344939 \h </w:instrText>
      </w:r>
      <w:r>
        <w:rPr>
          <w:noProof/>
          <w:webHidden/>
        </w:rPr>
        <w:fldChar w:fldCharType="separate"/>
      </w:r>
      <w:r>
        <w:rPr>
          <w:noProof/>
          <w:webHidden/>
        </w:rPr>
        <w:t>13</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"_Toc213344940" </w:instrText>
      </w:r>
      <w:r>
        <w:rPr/>
        <w:fldChar w:fldCharType="separate"/>
      </w:r>
      <w:r>
        <w:rPr>
          <w:rStyle w:val="style85"/>
          <w:rFonts w:ascii="Times New Roman" w:hAnsi="Times New Roman"/>
          <w:noProof/>
        </w:rPr>
        <w:t>CHAPTER FOUR</w:t>
      </w:r>
      <w:r>
        <w:rPr>
          <w:noProof/>
          <w:webHidden/>
        </w:rPr>
        <w:tab/>
      </w:r>
      <w:r>
        <w:rPr>
          <w:noProof/>
          <w:webHidden/>
        </w:rPr>
        <w:fldChar w:fldCharType="begin"/>
      </w:r>
      <w:r>
        <w:rPr>
          <w:noProof/>
          <w:webHidden/>
        </w:rPr>
        <w:instrText xml:space="preserve"> PAGEREF _Toc213344940 \h </w:instrText>
      </w:r>
      <w:r>
        <w:rPr>
          <w:noProof/>
          <w:webHidden/>
        </w:rPr>
        <w:fldChar w:fldCharType="separate"/>
      </w:r>
      <w:r>
        <w:rPr>
          <w:noProof/>
          <w:webHidden/>
        </w:rPr>
        <w:t>14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"_Toc213344941" </w:instrText>
      </w:r>
      <w:r>
        <w:rPr/>
        <w:fldChar w:fldCharType="separate"/>
      </w:r>
      <w:r>
        <w:rPr>
          <w:rStyle w:val="style85"/>
          <w:rFonts w:ascii="Times New Roman" w:hAnsi="Times New Roman"/>
          <w:noProof/>
        </w:rPr>
        <w:t>RESULTS AND DISCUSSION</w:t>
      </w:r>
      <w:r>
        <w:rPr>
          <w:noProof/>
          <w:webHidden/>
        </w:rPr>
        <w:tab/>
      </w:r>
      <w:r>
        <w:rPr>
          <w:noProof/>
          <w:webHidden/>
        </w:rPr>
        <w:fldChar w:fldCharType="begin"/>
      </w:r>
      <w:r>
        <w:rPr>
          <w:noProof/>
          <w:webHidden/>
        </w:rPr>
        <w:instrText xml:space="preserve"> PAGEREF _Toc213344941 \h </w:instrText>
      </w:r>
      <w:r>
        <w:rPr>
          <w:noProof/>
          <w:webHidden/>
        </w:rPr>
        <w:fldChar w:fldCharType="separate"/>
      </w:r>
      <w:r>
        <w:rPr>
          <w:noProof/>
          <w:webHidden/>
        </w:rPr>
        <w:t>14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"_Toc213344942" </w:instrText>
      </w:r>
      <w:r>
        <w:rPr/>
        <w:fldChar w:fldCharType="separate"/>
      </w:r>
      <w:r>
        <w:rPr>
          <w:rStyle w:val="style85"/>
          <w:rFonts w:ascii="Times New Roman" w:hAnsi="Times New Roman"/>
          <w:noProof/>
        </w:rPr>
        <w:t>4.1 Results</w:t>
      </w:r>
      <w:r>
        <w:rPr>
          <w:noProof/>
          <w:webHidden/>
        </w:rPr>
        <w:tab/>
      </w:r>
      <w:r>
        <w:rPr>
          <w:noProof/>
          <w:webHidden/>
        </w:rPr>
        <w:fldChar w:fldCharType="begin"/>
      </w:r>
      <w:r>
        <w:rPr>
          <w:noProof/>
          <w:webHidden/>
        </w:rPr>
        <w:instrText xml:space="preserve"> PAGEREF _Toc213344942 \h </w:instrText>
      </w:r>
      <w:r>
        <w:rPr>
          <w:noProof/>
          <w:webHidden/>
        </w:rPr>
        <w:fldChar w:fldCharType="separate"/>
      </w:r>
      <w:r>
        <w:rPr>
          <w:noProof/>
          <w:webHidden/>
        </w:rPr>
        <w:t>14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"_Toc213344943" </w:instrText>
      </w:r>
      <w:r>
        <w:rPr/>
        <w:fldChar w:fldCharType="separate"/>
      </w:r>
      <w:r>
        <w:rPr>
          <w:rStyle w:val="style85"/>
          <w:rFonts w:ascii="Times New Roman" w:hAnsi="Times New Roman"/>
          <w:noProof/>
        </w:rPr>
        <w:t>4.1.1 Concentration of Heavy Metals in Tomato Paste Samples</w:t>
      </w:r>
      <w:r>
        <w:rPr>
          <w:noProof/>
          <w:webHidden/>
        </w:rPr>
        <w:tab/>
      </w:r>
      <w:r>
        <w:rPr>
          <w:noProof/>
          <w:webHidden/>
        </w:rPr>
        <w:fldChar w:fldCharType="begin"/>
      </w:r>
      <w:r>
        <w:rPr>
          <w:noProof/>
          <w:webHidden/>
        </w:rPr>
        <w:instrText xml:space="preserve"> PAGEREF _Toc213344943 \h </w:instrText>
      </w:r>
      <w:r>
        <w:rPr>
          <w:noProof/>
          <w:webHidden/>
        </w:rPr>
        <w:fldChar w:fldCharType="separate"/>
      </w:r>
      <w:r>
        <w:rPr>
          <w:noProof/>
          <w:webHidden/>
        </w:rPr>
        <w:t>14</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"_Toc213344944" </w:instrText>
      </w:r>
      <w:r>
        <w:rPr/>
        <w:fldChar w:fldCharType="separate"/>
      </w:r>
      <w:r>
        <w:rPr>
          <w:rStyle w:val="style85"/>
          <w:rFonts w:ascii="Times New Roman" w:hAnsi="Times New Roman"/>
          <w:noProof/>
        </w:rPr>
        <w:t>4. 2 Discussion of Results</w:t>
      </w:r>
      <w:r>
        <w:rPr>
          <w:noProof/>
          <w:webHidden/>
        </w:rPr>
        <w:tab/>
      </w:r>
      <w:r>
        <w:rPr>
          <w:noProof/>
          <w:webHidden/>
        </w:rPr>
        <w:fldChar w:fldCharType="begin"/>
      </w:r>
      <w:r>
        <w:rPr>
          <w:noProof/>
          <w:webHidden/>
        </w:rPr>
        <w:instrText xml:space="preserve"> PAGEREF _Toc213344944 \h </w:instrText>
      </w:r>
      <w:r>
        <w:rPr>
          <w:noProof/>
          <w:webHidden/>
        </w:rPr>
        <w:fldChar w:fldCharType="separate"/>
      </w:r>
      <w:r>
        <w:rPr>
          <w:noProof/>
          <w:webHidden/>
        </w:rPr>
        <w:t>15</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"_Toc213344945" </w:instrText>
      </w:r>
      <w:r>
        <w:rPr/>
        <w:fldChar w:fldCharType="separate"/>
      </w:r>
      <w:r>
        <w:rPr>
          <w:rStyle w:val="style85"/>
          <w:rFonts w:ascii="Times New Roman" w:hAnsi="Times New Roman"/>
          <w:noProof/>
        </w:rPr>
        <w:t>4.3 Comparison of Results</w:t>
      </w:r>
      <w:r>
        <w:rPr>
          <w:noProof/>
          <w:webHidden/>
        </w:rPr>
        <w:tab/>
      </w:r>
      <w:r>
        <w:rPr>
          <w:noProof/>
          <w:webHidden/>
        </w:rPr>
        <w:fldChar w:fldCharType="begin"/>
      </w:r>
      <w:r>
        <w:rPr>
          <w:noProof/>
          <w:webHidden/>
        </w:rPr>
        <w:instrText xml:space="preserve"> PAGEREF _Toc213344945 \h </w:instrText>
      </w:r>
      <w:r>
        <w:rPr>
          <w:noProof/>
          <w:webHidden/>
        </w:rPr>
        <w:fldChar w:fldCharType="separate"/>
      </w:r>
      <w:r>
        <w:rPr>
          <w:noProof/>
          <w:webHidden/>
        </w:rPr>
        <w:t>17</w:t>
      </w:r>
      <w:r>
        <w:rPr>
          <w:noProof/>
          <w:webHidden/>
        </w:rPr>
        <w:fldChar w:fldCharType="end"/>
      </w:r>
      <w:r>
        <w:rPr/>
        <w:fldChar w:fldCharType="end"/>
      </w:r>
    </w:p>
    <w:p>
      <w:pPr>
        <w:pStyle w:val="style21"/>
        <w:tabs>
          <w:tab w:val="right" w:leader="dot" w:pos="9350"/>
        </w:tabs>
        <w:rPr>
          <w:noProof/>
        </w:rPr>
      </w:pPr>
      <w:r>
        <w:rPr/>
        <w:fldChar w:fldCharType="begin"/>
      </w:r>
      <w:r>
        <w:instrText xml:space="preserve"> HYPERLINK \l "_Toc213344946" </w:instrText>
      </w:r>
      <w:r>
        <w:rPr/>
        <w:fldChar w:fldCharType="separate"/>
      </w:r>
      <w:r>
        <w:rPr>
          <w:rStyle w:val="style85"/>
          <w:rFonts w:ascii="Times New Roman" w:cs="Times New Roman" w:eastAsia="Times New Roman" w:hAnsi="Times New Roman"/>
          <w:b/>
          <w:bCs/>
          <w:noProof/>
          <w:lang w:eastAsia="en-US"/>
        </w:rPr>
        <w:t xml:space="preserve">Table: 4.3 Mean Concentrations of Trace Metals in </w:t>
      </w:r>
      <w:r>
        <w:rPr>
          <w:rStyle w:val="style85"/>
          <w:rFonts w:ascii="Times New Roman" w:cs="Times New Roman" w:eastAsia="Times New Roman" w:hAnsi="Times New Roman"/>
          <w:b/>
          <w:bCs/>
          <w:noProof/>
          <w:lang w:eastAsia="en-US"/>
        </w:rPr>
        <w:t xml:space="preserve">Sachet </w:t>
      </w:r>
      <w:r>
        <w:rPr>
          <w:rStyle w:val="style85"/>
          <w:rFonts w:ascii="Times New Roman" w:cs="Times New Roman" w:eastAsia="Times New Roman" w:hAnsi="Times New Roman"/>
          <w:b/>
          <w:bCs/>
          <w:noProof/>
          <w:lang w:eastAsia="en-US"/>
        </w:rPr>
        <w:t xml:space="preserve"> Food Samples Compared to WHO/FAO Limits</w:t>
      </w:r>
      <w:r>
        <w:rPr>
          <w:noProof/>
          <w:webHidden/>
        </w:rPr>
        <w:tab/>
      </w:r>
      <w:r>
        <w:rPr>
          <w:noProof/>
          <w:webHidden/>
        </w:rPr>
        <w:fldChar w:fldCharType="begin"/>
      </w:r>
      <w:r>
        <w:rPr>
          <w:noProof/>
          <w:webHidden/>
        </w:rPr>
        <w:instrText xml:space="preserve"> PAGEREF _Toc213344946 \h </w:instrText>
      </w:r>
      <w:r>
        <w:rPr>
          <w:noProof/>
          <w:webHidden/>
        </w:rPr>
        <w:fldChar w:fldCharType="separate"/>
      </w:r>
      <w:r>
        <w:rPr>
          <w:noProof/>
          <w:webHidden/>
        </w:rPr>
        <w:t>17</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"_Toc213344947" </w:instrText>
      </w:r>
      <w:r>
        <w:rPr/>
        <w:fldChar w:fldCharType="separate"/>
      </w:r>
      <w:r>
        <w:rPr>
          <w:rStyle w:val="style85"/>
          <w:rFonts w:ascii="Times New Roman" w:hAnsi="Times New Roman"/>
          <w:noProof/>
        </w:rPr>
        <w:t>4.4 Health Implications</w:t>
      </w:r>
      <w:r>
        <w:rPr>
          <w:noProof/>
          <w:webHidden/>
        </w:rPr>
        <w:tab/>
      </w:r>
      <w:r>
        <w:rPr>
          <w:noProof/>
          <w:webHidden/>
        </w:rPr>
        <w:fldChar w:fldCharType="begin"/>
      </w:r>
      <w:r>
        <w:rPr>
          <w:noProof/>
          <w:webHidden/>
        </w:rPr>
        <w:instrText xml:space="preserve"> PAGEREF _Toc213344947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"_Toc213344948" </w:instrText>
      </w:r>
      <w:r>
        <w:rPr/>
        <w:fldChar w:fldCharType="separate"/>
      </w:r>
      <w:r>
        <w:rPr>
          <w:rStyle w:val="style85"/>
          <w:rFonts w:ascii="Times New Roman" w:hAnsi="Times New Roman"/>
          <w:noProof/>
        </w:rPr>
        <w:t>CHAPTER FIVE</w:t>
      </w:r>
      <w:r>
        <w:rPr>
          <w:noProof/>
          <w:webHidden/>
        </w:rPr>
        <w:tab/>
      </w:r>
      <w:r>
        <w:rPr>
          <w:noProof/>
          <w:webHidden/>
        </w:rPr>
        <w:fldChar w:fldCharType="begin"/>
      </w:r>
      <w:r>
        <w:rPr>
          <w:noProof/>
          <w:webHidden/>
        </w:rPr>
        <w:instrText xml:space="preserve"> PAGEREF _Toc213344948 \h </w:instrText>
      </w:r>
      <w:r>
        <w:rPr>
          <w:noProof/>
          <w:webHidden/>
        </w:rPr>
        <w:fldChar w:fldCharType="separate"/>
      </w:r>
      <w:r>
        <w:rPr>
          <w:noProof/>
          <w:webHidden/>
        </w:rPr>
        <w:t>20</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"_Toc213344949" </w:instrText>
      </w:r>
      <w:r>
        <w:rPr/>
        <w:fldChar w:fldCharType="separate"/>
      </w:r>
      <w:r>
        <w:rPr>
          <w:rStyle w:val="style85"/>
          <w:rFonts w:ascii="Times New Roman" w:hAnsi="Times New Roman"/>
          <w:noProof/>
        </w:rPr>
        <w:t>CONCLUSION AND RECOMMENDATIONS</w:t>
      </w:r>
      <w:r>
        <w:rPr>
          <w:noProof/>
          <w:webHidden/>
        </w:rPr>
        <w:tab/>
      </w:r>
      <w:r>
        <w:rPr>
          <w:noProof/>
          <w:webHidden/>
        </w:rPr>
        <w:fldChar w:fldCharType="begin"/>
      </w:r>
      <w:r>
        <w:rPr>
          <w:noProof/>
          <w:webHidden/>
        </w:rPr>
        <w:instrText xml:space="preserve"> PAGEREF _Toc213344949 \h </w:instrText>
      </w:r>
      <w:r>
        <w:rPr>
          <w:noProof/>
          <w:webHidden/>
        </w:rPr>
        <w:fldChar w:fldCharType="separate"/>
      </w:r>
      <w:r>
        <w:rPr>
          <w:noProof/>
          <w:webHidden/>
        </w:rPr>
        <w:t>20</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"_Toc213344950" </w:instrText>
      </w:r>
      <w:r>
        <w:rPr/>
        <w:fldChar w:fldCharType="separate"/>
      </w:r>
      <w:r>
        <w:rPr>
          <w:rStyle w:val="style85"/>
          <w:rFonts w:ascii="Times New Roman" w:hAnsi="Times New Roman"/>
          <w:noProof/>
        </w:rPr>
        <w:t>5.1 Conclusion</w:t>
      </w:r>
      <w:r>
        <w:rPr>
          <w:noProof/>
          <w:webHidden/>
        </w:rPr>
        <w:tab/>
      </w:r>
      <w:r>
        <w:rPr>
          <w:noProof/>
          <w:webHidden/>
        </w:rPr>
        <w:fldChar w:fldCharType="begin"/>
      </w:r>
      <w:r>
        <w:rPr>
          <w:noProof/>
          <w:webHidden/>
        </w:rPr>
        <w:instrText xml:space="preserve"> PAGEREF _Toc213344950 \h </w:instrText>
      </w:r>
      <w:r>
        <w:rPr>
          <w:noProof/>
          <w:webHidden/>
        </w:rPr>
        <w:fldChar w:fldCharType="separate"/>
      </w:r>
      <w:r>
        <w:rPr>
          <w:noProof/>
          <w:webHidden/>
        </w:rPr>
        <w:t>20</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"_Toc213344951" </w:instrText>
      </w:r>
      <w:r>
        <w:rPr/>
        <w:fldChar w:fldCharType="separate"/>
      </w:r>
      <w:r>
        <w:rPr>
          <w:rStyle w:val="style85"/>
          <w:rFonts w:ascii="Times New Roman" w:hAnsi="Times New Roman"/>
          <w:noProof/>
        </w:rPr>
        <w:t>5.2 Recommendations</w:t>
      </w:r>
      <w:r>
        <w:rPr>
          <w:noProof/>
          <w:webHidden/>
        </w:rPr>
        <w:tab/>
      </w:r>
      <w:r>
        <w:rPr>
          <w:noProof/>
          <w:webHidden/>
        </w:rPr>
        <w:fldChar w:fldCharType="begin"/>
      </w:r>
      <w:r>
        <w:rPr>
          <w:noProof/>
          <w:webHidden/>
        </w:rPr>
        <w:instrText xml:space="preserve"> PAGEREF _Toc213344951 \h </w:instrText>
      </w:r>
      <w:r>
        <w:rPr>
          <w:noProof/>
          <w:webHidden/>
        </w:rPr>
        <w:fldChar w:fldCharType="separate"/>
      </w:r>
      <w:r>
        <w:rPr>
          <w:noProof/>
          <w:webHidden/>
        </w:rPr>
        <w:t>20</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"_Toc213344952" </w:instrText>
      </w:r>
      <w:r>
        <w:rPr/>
        <w:fldChar w:fldCharType="separate"/>
      </w:r>
      <w:r>
        <w:rPr>
          <w:rStyle w:val="style85"/>
          <w:rFonts w:ascii="Times New Roman" w:hAnsi="Times New Roman"/>
          <w:noProof/>
        </w:rPr>
        <w:t>5.3 Contribution of the Study</w:t>
      </w:r>
      <w:r>
        <w:rPr>
          <w:noProof/>
          <w:webHidden/>
        </w:rPr>
        <w:tab/>
      </w:r>
      <w:r>
        <w:rPr>
          <w:noProof/>
          <w:webHidden/>
        </w:rPr>
        <w:fldChar w:fldCharType="begin"/>
      </w:r>
      <w:r>
        <w:rPr>
          <w:noProof/>
          <w:webHidden/>
        </w:rPr>
        <w:instrText xml:space="preserve"> PAGEREF _Toc213344952 \h </w:instrText>
      </w:r>
      <w:r>
        <w:rPr>
          <w:noProof/>
          <w:webHidden/>
        </w:rPr>
        <w:fldChar w:fldCharType="separate"/>
      </w:r>
      <w:r>
        <w:rPr>
          <w:noProof/>
          <w:webHidden/>
        </w:rPr>
        <w:t>22</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"_Toc213344953" </w:instrText>
      </w:r>
      <w:r>
        <w:rPr/>
        <w:fldChar w:fldCharType="separate"/>
      </w:r>
      <w:r>
        <w:rPr>
          <w:rStyle w:val="style85"/>
          <w:rFonts w:ascii="Times New Roman" w:hAnsi="Times New Roman"/>
          <w:noProof/>
        </w:rPr>
        <w:t>5.3.1 Limitations of the Study</w:t>
      </w:r>
      <w:r>
        <w:rPr>
          <w:noProof/>
          <w:webHidden/>
        </w:rPr>
        <w:tab/>
      </w:r>
      <w:r>
        <w:rPr>
          <w:noProof/>
          <w:webHidden/>
        </w:rPr>
        <w:fldChar w:fldCharType="begin"/>
      </w:r>
      <w:r>
        <w:rPr>
          <w:noProof/>
          <w:webHidden/>
        </w:rPr>
        <w:instrText xml:space="preserve"> PAGEREF _Toc213344953 \h </w:instrText>
      </w:r>
      <w:r>
        <w:rPr>
          <w:noProof/>
          <w:webHidden/>
        </w:rPr>
        <w:fldChar w:fldCharType="separate"/>
      </w:r>
      <w:r>
        <w:rPr>
          <w:noProof/>
          <w:webHidden/>
        </w:rPr>
        <w:t>22</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"_Toc213344954" </w:instrText>
      </w:r>
      <w:r>
        <w:rPr/>
        <w:fldChar w:fldCharType="separate"/>
      </w:r>
      <w:r>
        <w:rPr>
          <w:rStyle w:val="style85"/>
          <w:rFonts w:ascii="Times New Roman" w:hAnsi="Times New Roman"/>
          <w:noProof/>
        </w:rPr>
        <w:t>References</w:t>
      </w:r>
      <w:r>
        <w:rPr>
          <w:noProof/>
          <w:webHidden/>
        </w:rPr>
        <w:tab/>
      </w:r>
      <w:r>
        <w:rPr>
          <w:noProof/>
          <w:webHidden/>
        </w:rPr>
        <w:fldChar w:fldCharType="begin"/>
      </w:r>
      <w:r>
        <w:rPr>
          <w:noProof/>
          <w:webHidden/>
        </w:rPr>
        <w:instrText xml:space="preserve"> PAGEREF _Toc213344954 \h </w:instrText>
      </w:r>
      <w:r>
        <w:rPr>
          <w:noProof/>
          <w:webHidden/>
        </w:rPr>
        <w:fldChar w:fldCharType="separate"/>
      </w:r>
      <w:r>
        <w:rPr>
          <w:noProof/>
          <w:webHidden/>
        </w:rPr>
        <w:t>24</w:t>
      </w:r>
      <w:r>
        <w:rPr>
          <w:noProof/>
          <w:webHidden/>
        </w:rPr>
        <w:fldChar w:fldCharType="end"/>
      </w:r>
      <w:r>
        <w:rPr/>
        <w:fldChar w:fldCharType="end"/>
      </w:r>
    </w:p>
    <w:p>
      <w:pPr>
        <w:pStyle w:val="style0"/>
        <w:rPr/>
      </w:pPr>
      <w:r>
        <w:rPr>
          <w:b/>
          <w:bCs/>
          <w:noProof/>
        </w:rPr>
        <w:fldChar w:fldCharType="end"/>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bookmarkStart w:id="7" w:name="_Toc213344914"/>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LIST OF TABLES</w:t>
      </w:r>
      <w:bookmarkEnd w:id="7"/>
    </w:p>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Table 3.1: Reagents Used in the </w:t>
      </w:r>
      <w:r>
        <w:rPr>
          <w:rFonts w:ascii="Times New Roman" w:cs="Times New Roman" w:hAnsi="Times New Roman"/>
          <w:color w:val="000000"/>
          <w:sz w:val="24"/>
          <w:szCs w:val="24"/>
        </w:rPr>
        <w:t>Study  9</w:t>
      </w:r>
    </w:p>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Table 3.2: Apparatus and Instruments Used in the Study 10</w:t>
      </w:r>
    </w:p>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Table :</w:t>
      </w:r>
      <w:r>
        <w:rPr>
          <w:rFonts w:ascii="Times New Roman" w:cs="Times New Roman" w:hAnsi="Times New Roman"/>
          <w:color w:val="000000"/>
          <w:sz w:val="24"/>
          <w:szCs w:val="24"/>
        </w:rPr>
        <w:t>33  Wavelengths</w:t>
      </w:r>
      <w:r>
        <w:rPr>
          <w:rFonts w:ascii="Times New Roman" w:cs="Times New Roman" w:hAnsi="Times New Roman"/>
          <w:color w:val="000000"/>
          <w:sz w:val="24"/>
          <w:szCs w:val="24"/>
        </w:rPr>
        <w:t xml:space="preserve"> and Methods of Atomization for the Determination of Heavy Metals12</w:t>
      </w:r>
    </w:p>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eastAsia="Times New Roman" w:hAnsi="Times New Roman"/>
          <w:color w:val="000000"/>
          <w:sz w:val="24"/>
          <w:szCs w:val="24"/>
          <w:lang w:eastAsia="en-US"/>
        </w:rPr>
        <w:t xml:space="preserve">Table 4.1 Mean Concentrations (mg/L) of Heavy Metals in </w:t>
      </w:r>
      <w:r>
        <w:rPr>
          <w:rFonts w:ascii="Times New Roman" w:cs="Times New Roman" w:eastAsia="Times New Roman" w:hAnsi="Times New Roman"/>
          <w:color w:val="000000"/>
          <w:sz w:val="24"/>
          <w:szCs w:val="24"/>
          <w:lang w:eastAsia="en-US"/>
        </w:rPr>
        <w:t xml:space="preserve">Sachet </w:t>
      </w:r>
      <w:r>
        <w:rPr>
          <w:rFonts w:ascii="Times New Roman" w:cs="Times New Roman" w:eastAsia="Times New Roman" w:hAnsi="Times New Roman"/>
          <w:color w:val="000000"/>
          <w:sz w:val="24"/>
          <w:szCs w:val="24"/>
          <w:lang w:eastAsia="en-US"/>
        </w:rPr>
        <w:t xml:space="preserve"> Food Samples 14</w:t>
      </w:r>
    </w:p>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 xml:space="preserve">Table 4.2 Relative Standard Deviation (RSD %) of Heavy Metals in </w:t>
      </w:r>
      <w:r>
        <w:rPr>
          <w:rFonts w:ascii="Times New Roman" w:cs="Times New Roman" w:eastAsia="Times New Roman" w:hAnsi="Times New Roman"/>
          <w:color w:val="000000"/>
          <w:sz w:val="24"/>
          <w:szCs w:val="24"/>
          <w:lang w:eastAsia="en-US"/>
        </w:rPr>
        <w:t xml:space="preserve">Sachet </w:t>
      </w:r>
      <w:r>
        <w:rPr>
          <w:rFonts w:ascii="Times New Roman" w:cs="Times New Roman" w:eastAsia="Times New Roman" w:hAnsi="Times New Roman"/>
          <w:color w:val="000000"/>
          <w:sz w:val="24"/>
          <w:szCs w:val="24"/>
          <w:lang w:eastAsia="en-US"/>
        </w:rPr>
        <w:t xml:space="preserve"> Food Samples 15</w:t>
      </w:r>
    </w:p>
    <w:p>
      <w:pPr>
        <w:pStyle w:val="style0"/>
        <w:spacing w:before="240" w:after="240" w:lineRule="auto" w:line="240"/>
        <w:outlineLvl w:val="2"/>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 xml:space="preserve">Table: 4.3 Mean Concentrations of Trace Metals in </w:t>
      </w:r>
      <w:r>
        <w:rPr>
          <w:rFonts w:ascii="Times New Roman" w:cs="Times New Roman" w:eastAsia="Times New Roman" w:hAnsi="Times New Roman"/>
          <w:color w:val="000000"/>
          <w:sz w:val="24"/>
          <w:szCs w:val="24"/>
          <w:lang w:eastAsia="en-US"/>
        </w:rPr>
        <w:t xml:space="preserve">Sachet </w:t>
      </w:r>
      <w:r>
        <w:rPr>
          <w:rFonts w:ascii="Times New Roman" w:cs="Times New Roman" w:eastAsia="Times New Roman" w:hAnsi="Times New Roman"/>
          <w:color w:val="000000"/>
          <w:sz w:val="24"/>
          <w:szCs w:val="24"/>
          <w:lang w:eastAsia="en-US"/>
        </w:rPr>
        <w:t xml:space="preserve"> Food Samples Compared to WHO/FAO Limits   17</w:t>
      </w:r>
    </w:p>
    <w:p>
      <w:pPr>
        <w:pStyle w:val="style0"/>
        <w:spacing w:before="240" w:after="240" w:lineRule="auto" w:line="240"/>
        <w:ind w:firstLine="720"/>
        <w:jc w:val="both"/>
        <w:rPr>
          <w:rFonts w:ascii="Times New Roman" w:cs="Times New Roman" w:hAnsi="Times New Roman"/>
          <w:color w:val="000000"/>
          <w:sz w:val="24"/>
          <w:szCs w:val="24"/>
        </w:rPr>
      </w:pPr>
    </w:p>
    <w:p>
      <w:pPr>
        <w:pStyle w:val="style0"/>
        <w:spacing w:before="240" w:after="240" w:lineRule="auto" w:line="240"/>
        <w:jc w:val="both"/>
        <w:rPr>
          <w:rFonts w:ascii="Times New Roman" w:cs="Times New Roman" w:hAnsi="Times New Roman"/>
          <w:color w:val="000000"/>
          <w:sz w:val="24"/>
          <w:szCs w:val="24"/>
        </w:rPr>
      </w:pPr>
    </w:p>
    <w:p>
      <w:pPr>
        <w:pStyle w:val="style0"/>
        <w:spacing w:before="240" w:after="240" w:lineRule="auto" w:line="24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center"/>
        <w:rPr>
          <w:rFonts w:ascii="Times New Roman" w:cs="Times New Roman" w:hAnsi="Times New Roman"/>
          <w:color w:val="000000"/>
          <w:sz w:val="24"/>
          <w:szCs w:val="24"/>
        </w:rPr>
        <w:sectPr>
          <w:footerReference w:type="default" r:id="rId2"/>
          <w:pgSz w:w="12240" w:h="15840" w:orient="portrait"/>
          <w:pgMar w:top="1440" w:right="1440" w:bottom="1440" w:left="1440" w:header="720" w:footer="720" w:gutter="0"/>
          <w:pgNumType w:fmt="lowerRoman" w:start="1"/>
          <w:cols w:space="720"/>
          <w:docGrid w:linePitch="360"/>
        </w:sectPr>
      </w:pPr>
    </w:p>
    <w:bookmarkStart w:id="8" w:name="_Toc213344915"/>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CHAPTER ONE</w:t>
      </w:r>
      <w:bookmarkEnd w:id="8"/>
    </w:p>
    <w:bookmarkStart w:id="9" w:name="_Toc213344916"/>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INTRODUCTION</w:t>
      </w:r>
      <w:bookmarkEnd w:id="9"/>
    </w:p>
    <w:bookmarkStart w:id="10" w:name="_Toc213344917"/>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1.1 Background of the Study</w:t>
      </w:r>
      <w:bookmarkEnd w:id="10"/>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Tomato (Solanum </w:t>
      </w:r>
      <w:r>
        <w:rPr>
          <w:rFonts w:ascii="Times New Roman" w:cs="Times New Roman" w:hAnsi="Times New Roman"/>
          <w:color w:val="000000"/>
          <w:sz w:val="24"/>
          <w:szCs w:val="24"/>
        </w:rPr>
        <w:t>lycopersicum</w:t>
      </w:r>
      <w:r>
        <w:rPr>
          <w:rFonts w:ascii="Times New Roman" w:cs="Times New Roman" w:hAnsi="Times New Roman"/>
          <w:color w:val="000000"/>
          <w:sz w:val="24"/>
          <w:szCs w:val="24"/>
        </w:rPr>
        <w:t>) is one of the most widely consumed vegetables worldwide and serves as a major source of essential nutrients such as vitamins, minerals, and antioxidants. In Nigeria, tomatoes are commonly processed into tomato paste, which is widely used as a base ingredient in soups and stews (</w:t>
      </w:r>
      <w:r>
        <w:rPr>
          <w:rFonts w:ascii="Times New Roman" w:cs="Times New Roman" w:hAnsi="Times New Roman"/>
          <w:color w:val="000000"/>
          <w:sz w:val="24"/>
          <w:szCs w:val="24"/>
        </w:rPr>
        <w:t>Agbemafle</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et al.,</w:t>
      </w:r>
      <w:r>
        <w:rPr>
          <w:rFonts w:ascii="Times New Roman" w:cs="Times New Roman" w:hAnsi="Times New Roman"/>
          <w:color w:val="000000"/>
          <w:sz w:val="24"/>
          <w:szCs w:val="24"/>
        </w:rPr>
        <w:t xml:space="preserve"> 2015). Tomato paste has become a household staple because of its affordability, availability, and long shelf life.</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However, concerns regarding the safety and quality of tomato paste have increased in recent years due to possible contamination with heavy metals. Heavy metals such as lead (Pb), arsenic (As), cadmium (Cd), manganese (Mn), and chromium (Cr) are of significant public health concern. While some, such as manganese and chromium, are essential trace elements at low concentrations, others, including lead, cadmium, and arsenic, have no known beneficial roles in the human body and are toxic even at low levels (</w:t>
      </w:r>
      <w:r>
        <w:rPr>
          <w:rFonts w:ascii="Times New Roman" w:cs="Times New Roman" w:hAnsi="Times New Roman"/>
          <w:color w:val="000000"/>
          <w:sz w:val="24"/>
          <w:szCs w:val="24"/>
        </w:rPr>
        <w:t>Jaishankar</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et al.,</w:t>
      </w:r>
      <w:r>
        <w:rPr>
          <w:rFonts w:ascii="Times New Roman" w:cs="Times New Roman" w:hAnsi="Times New Roman"/>
          <w:color w:val="000000"/>
          <w:sz w:val="24"/>
          <w:szCs w:val="24"/>
        </w:rPr>
        <w:t xml:space="preserve"> 2014). These metals are non-biodegradable and can accumulate in the human body, leading to chronic health effects such as kidney damage, neurological disorders, anemia, and carcinogenesis (WHO, 2020).</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contamination of tomato paste with heavy metals can occur at various stages of production, including during cultivation (through contaminated soil, irrigation water, and fertilizers), processing, packaging, or storage. For instance, Pb and Cd can enter plants through uptake from polluted soils, while Cr and Mn may be introduced during industrial processing (Khan et al., 2015). This makes routine monitoring of processed foods such as tomato paste necessary to safeguard public health.</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In Nigeria, brands such as Gino, De Rica, and </w:t>
      </w:r>
      <w:r>
        <w:rPr>
          <w:rFonts w:ascii="Times New Roman" w:cs="Times New Roman" w:hAnsi="Times New Roman"/>
          <w:color w:val="000000"/>
          <w:sz w:val="24"/>
          <w:szCs w:val="24"/>
        </w:rPr>
        <w:t>Nagiko</w:t>
      </w:r>
      <w:r>
        <w:rPr>
          <w:rFonts w:ascii="Times New Roman" w:cs="Times New Roman" w:hAnsi="Times New Roman"/>
          <w:color w:val="000000"/>
          <w:sz w:val="24"/>
          <w:szCs w:val="24"/>
        </w:rPr>
        <w:t xml:space="preserve"> are among the most popular and widely consumed tomato pastes. These brands are extensively sold across northern states, including Sokoto, where tomato paste is a key ingredient in daily meals. Despite their widespread consumption, there is limited published data on the levels of heavy metals in these products. Therefore, an evaluation of Pb, As, Cd, Mn, and Cr in </w:t>
      </w:r>
      <w:r>
        <w:rPr>
          <w:rFonts w:ascii="Times New Roman" w:cs="Times New Roman" w:hAnsi="Times New Roman"/>
          <w:color w:val="000000"/>
          <w:sz w:val="24"/>
          <w:szCs w:val="24"/>
        </w:rPr>
        <w:t>these tomato</w:t>
      </w:r>
      <w:r>
        <w:rPr>
          <w:rFonts w:ascii="Times New Roman" w:cs="Times New Roman" w:hAnsi="Times New Roman"/>
          <w:color w:val="000000"/>
          <w:sz w:val="24"/>
          <w:szCs w:val="24"/>
        </w:rPr>
        <w:t xml:space="preserve"> paste brands is essential to </w:t>
      </w:r>
      <w:r>
        <w:rPr>
          <w:rFonts w:ascii="Times New Roman" w:cs="Times New Roman" w:hAnsi="Times New Roman"/>
          <w:color w:val="000000"/>
          <w:sz w:val="24"/>
          <w:szCs w:val="24"/>
        </w:rPr>
        <w:t>determine their compliance with international food safety standards such as those set by the World Health Organization (WHO, 2020), Food and Agriculture Organization (FAO, 2011), and Codex Alimentarius Commission (2019).</w:t>
      </w:r>
    </w:p>
    <w:bookmarkStart w:id="11" w:name="_Toc213344918"/>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1.2 Statement of the Problem</w:t>
      </w:r>
      <w:bookmarkEnd w:id="11"/>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Tomato paste is consumed daily in large quantities in Sokoto and other parts of Nigeria. While it is a vital dietary component, it also has the potential to serve as a source of toxic heavy metals. Excessive intake of these metals poses significant health risks, including developmental problems in children, reproductive disorders, and increased cancer risk (Chen </w:t>
      </w:r>
      <w:r>
        <w:rPr>
          <w:rFonts w:ascii="Times New Roman" w:cs="Times New Roman" w:hAnsi="Times New Roman"/>
          <w:i/>
          <w:color w:val="000000"/>
          <w:sz w:val="24"/>
          <w:szCs w:val="24"/>
        </w:rPr>
        <w:t>et al.,</w:t>
      </w:r>
      <w:r>
        <w:rPr>
          <w:rFonts w:ascii="Times New Roman" w:cs="Times New Roman" w:hAnsi="Times New Roman"/>
          <w:color w:val="000000"/>
          <w:sz w:val="24"/>
          <w:szCs w:val="24"/>
        </w:rPr>
        <w:t xml:space="preserve"> 2019).</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brands Gino, De Rica, and </w:t>
      </w:r>
      <w:r>
        <w:rPr>
          <w:rFonts w:ascii="Times New Roman" w:cs="Times New Roman" w:hAnsi="Times New Roman"/>
          <w:color w:val="000000"/>
          <w:sz w:val="24"/>
          <w:szCs w:val="24"/>
        </w:rPr>
        <w:t>Nagiko</w:t>
      </w:r>
      <w:r>
        <w:rPr>
          <w:rFonts w:ascii="Times New Roman" w:cs="Times New Roman" w:hAnsi="Times New Roman"/>
          <w:color w:val="000000"/>
          <w:sz w:val="24"/>
          <w:szCs w:val="24"/>
        </w:rPr>
        <w:t xml:space="preserve"> are among the most consumed tomato pastes in Sokoto, yet there is no adequate scientific data assessing their safety with regard to heavy metal contamination. Given the absence of routine monitoring and the potential for cumulative exposure through daily consumption, it is important to assess their heavy metal content against internationally established permissible limits.</w:t>
      </w:r>
    </w:p>
    <w:bookmarkStart w:id="12" w:name="_Toc213344919"/>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1.3 Justification of the Study</w:t>
      </w:r>
      <w:bookmarkEnd w:id="12"/>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consumption of contaminated foods is one of the major routes of human exposure to heavy metals. Since tomato paste is consumed almost daily in Nigerian households, especially in Sokoto, monitoring its safety is crucial. This study will provide baseline data on heavy metal contamination in three of the most widely consumed tomato paste brands in the region. The results will benefit:</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Consumers, by raising awareness of potential health risks.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Regulatory agencies, by guiding policy decisions and quality control efforts.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Manufacturers, by encouraging adherence to international standards and good manufacturing practices (GMP). </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Ultimately, the findings will contribute to improved public health protection and food safety in Nigeria.</w:t>
      </w:r>
    </w:p>
    <w:p>
      <w:pPr>
        <w:pStyle w:val="style0"/>
        <w:spacing w:before="240" w:after="240" w:lineRule="auto" w:line="360"/>
        <w:jc w:val="both"/>
        <w:rPr>
          <w:rFonts w:ascii="Times New Roman" w:cs="Times New Roman" w:hAnsi="Times New Roman"/>
          <w:color w:val="000000"/>
          <w:sz w:val="24"/>
          <w:szCs w:val="24"/>
        </w:rPr>
      </w:pPr>
    </w:p>
    <w:bookmarkStart w:id="13" w:name="_Toc213344920"/>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rPr>
        <w:t>4</w:t>
      </w:r>
      <w:r>
        <w:rPr>
          <w:rFonts w:ascii="Times New Roman" w:hAnsi="Times New Roman"/>
          <w:color w:val="000000"/>
          <w:sz w:val="24"/>
          <w:szCs w:val="24"/>
        </w:rPr>
        <w:t xml:space="preserve"> </w:t>
      </w:r>
      <w:r>
        <w:rPr>
          <w:rFonts w:ascii="Times New Roman" w:hAnsi="Times New Roman"/>
          <w:color w:val="000000"/>
          <w:sz w:val="24"/>
          <w:szCs w:val="24"/>
        </w:rPr>
        <w:t>Aims and Objectives</w:t>
      </w:r>
      <w:bookmarkEnd w:id="13"/>
    </w:p>
    <w:p>
      <w:pPr>
        <w:pStyle w:val="style0"/>
        <w:spacing w:before="240" w:after="240" w:lineRule="auto" w:line="360"/>
        <w:jc w:val="both"/>
        <w:rPr>
          <w:rFonts w:ascii="Times New Roman" w:cs="Times New Roman" w:hAnsi="Times New Roman"/>
          <w:b/>
          <w:color w:val="000000"/>
          <w:sz w:val="24"/>
          <w:szCs w:val="24"/>
        </w:rPr>
      </w:pPr>
      <w:r>
        <w:rPr>
          <w:rFonts w:ascii="Times New Roman" w:cs="Times New Roman" w:hAnsi="Times New Roman"/>
          <w:color w:val="000000"/>
          <w:sz w:val="24"/>
          <w:szCs w:val="24"/>
        </w:rPr>
        <w:t xml:space="preserve">The aim of this study is to evaluate the concentrations of selected heavy metals (Pb, As, Cd, Mn, and Cr) in three commercial tomato paste brands (Gino, De Rica, and </w:t>
      </w:r>
      <w:r>
        <w:rPr>
          <w:rFonts w:ascii="Times New Roman" w:cs="Times New Roman" w:hAnsi="Times New Roman"/>
          <w:color w:val="000000"/>
          <w:sz w:val="24"/>
          <w:szCs w:val="24"/>
        </w:rPr>
        <w:t>Nagiko</w:t>
      </w:r>
      <w:r>
        <w:rPr>
          <w:rFonts w:ascii="Times New Roman" w:cs="Times New Roman" w:hAnsi="Times New Roman"/>
          <w:color w:val="000000"/>
          <w:sz w:val="24"/>
          <w:szCs w:val="24"/>
        </w:rPr>
        <w:t>) sold in Sokoto, Nigeria, and compare the results with international permissible limits to assess possible health risks.</w:t>
      </w:r>
    </w:p>
    <w:p>
      <w:pPr>
        <w:pStyle w:val="style0"/>
        <w:spacing w:before="240" w:after="240" w:lineRule="auto" w:line="360"/>
        <w:jc w:val="both"/>
        <w:rPr>
          <w:rFonts w:ascii="Times New Roman" w:cs="Times New Roman" w:hAnsi="Times New Roman"/>
          <w:b/>
          <w:color w:val="000000"/>
          <w:sz w:val="24"/>
          <w:szCs w:val="24"/>
        </w:rPr>
      </w:pPr>
      <w:r>
        <w:rPr>
          <w:rFonts w:ascii="Times New Roman" w:cs="Times New Roman" w:hAnsi="Times New Roman"/>
          <w:b/>
          <w:color w:val="000000"/>
          <w:sz w:val="24"/>
          <w:szCs w:val="24"/>
        </w:rPr>
        <w:t>Objectives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1. To collect and homogenize Gino, De Rica, and </w:t>
      </w:r>
      <w:r>
        <w:rPr>
          <w:rFonts w:ascii="Times New Roman" w:cs="Times New Roman" w:hAnsi="Times New Roman"/>
          <w:color w:val="000000"/>
          <w:sz w:val="24"/>
          <w:szCs w:val="24"/>
        </w:rPr>
        <w:t>Nagiko</w:t>
      </w:r>
      <w:r>
        <w:rPr>
          <w:rFonts w:ascii="Times New Roman" w:cs="Times New Roman" w:hAnsi="Times New Roman"/>
          <w:color w:val="000000"/>
          <w:sz w:val="24"/>
          <w:szCs w:val="24"/>
        </w:rPr>
        <w:t xml:space="preserve"> tomato paste samples from different retail outlets in Sokoto.</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2. To carry out acid digestion of the samples for heavy metal analysis.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3. To determine the concentrations of Pb, As, Cd, Mn, and Cr using Atomic Absorption Spectrophotometry (AAS).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4. To compare the concentrations obtained with WHO/FAO permissible limits.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5. To assess potential health risks associated with the consumption of these brands.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br w:type="page"/>
      </w:r>
    </w:p>
    <w:bookmarkStart w:id="14" w:name="_Toc213344921"/>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CHAPTER TWO</w:t>
      </w:r>
      <w:bookmarkEnd w:id="14"/>
    </w:p>
    <w:bookmarkStart w:id="15" w:name="_Toc213344922"/>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LITERATURE REVIEW</w:t>
      </w:r>
      <w:bookmarkEnd w:id="15"/>
    </w:p>
    <w:bookmarkStart w:id="16" w:name="_Toc213344923"/>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2.1 Tomato Paste and Its Consumption in Nigeria</w:t>
      </w:r>
      <w:bookmarkEnd w:id="16"/>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Tomato paste is a concentrated product obtained by removing most of the water from fresh, ripe tomatoes (</w:t>
      </w:r>
      <w:r>
        <w:rPr>
          <w:rFonts w:ascii="Times New Roman" w:cs="Times New Roman" w:hAnsi="Times New Roman"/>
          <w:color w:val="000000"/>
          <w:sz w:val="24"/>
          <w:szCs w:val="24"/>
        </w:rPr>
        <w:t>Lycopersicon</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esculentum</w:t>
      </w:r>
      <w:r>
        <w:rPr>
          <w:rFonts w:ascii="Times New Roman" w:cs="Times New Roman" w:hAnsi="Times New Roman"/>
          <w:color w:val="000000"/>
          <w:sz w:val="24"/>
          <w:szCs w:val="24"/>
        </w:rPr>
        <w:t>). It is widely used as a base ingredient in the preparation of soups, stews, and other traditional meals in Nigeria. The paste provides flavor, color, and nutritional value, making it a staple component in many households (</w:t>
      </w:r>
      <w:r>
        <w:rPr>
          <w:rFonts w:ascii="Times New Roman" w:cs="Times New Roman" w:hAnsi="Times New Roman"/>
          <w:color w:val="000000"/>
          <w:sz w:val="24"/>
          <w:szCs w:val="24"/>
        </w:rPr>
        <w:t>Agbemafle</w:t>
      </w:r>
      <w:r>
        <w:rPr>
          <w:rFonts w:ascii="Times New Roman" w:cs="Times New Roman" w:hAnsi="Times New Roman"/>
          <w:color w:val="000000"/>
          <w:sz w:val="24"/>
          <w:szCs w:val="24"/>
        </w:rPr>
        <w:t xml:space="preserve"> et al., 2015).</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 xml:space="preserve">In Nigeria, especially in the northern regions such as Sokoto, Kano, and </w:t>
      </w:r>
      <w:r>
        <w:rPr>
          <w:rFonts w:ascii="Times New Roman" w:cs="Times New Roman" w:hAnsi="Times New Roman"/>
          <w:color w:val="000000"/>
          <w:sz w:val="24"/>
          <w:szCs w:val="24"/>
        </w:rPr>
        <w:t>Katsina</w:t>
      </w:r>
      <w:r>
        <w:rPr>
          <w:rFonts w:ascii="Times New Roman" w:cs="Times New Roman" w:hAnsi="Times New Roman"/>
          <w:color w:val="000000"/>
          <w:sz w:val="24"/>
          <w:szCs w:val="24"/>
        </w:rPr>
        <w:t xml:space="preserve">, tomato paste is consumed almost daily. The increasing demand for ready-to-use tomato products has led to the rapid growth of both locally produced and imported brands. Commonly available brands include Gino, De Rica, </w:t>
      </w:r>
      <w:r>
        <w:rPr>
          <w:rFonts w:ascii="Times New Roman" w:cs="Times New Roman" w:hAnsi="Times New Roman"/>
          <w:color w:val="000000"/>
          <w:sz w:val="24"/>
          <w:szCs w:val="24"/>
        </w:rPr>
        <w:t>Nagiko</w:t>
      </w:r>
      <w:r>
        <w:rPr>
          <w:rFonts w:ascii="Times New Roman" w:cs="Times New Roman" w:hAnsi="Times New Roman"/>
          <w:color w:val="000000"/>
          <w:sz w:val="24"/>
          <w:szCs w:val="24"/>
        </w:rPr>
        <w:t>, and Tasty Tom, among others. However, due to differences in processing, packaging, and preservation practices, the quality and safety of these tomato pastes may vary significantly (</w:t>
      </w:r>
      <w:r>
        <w:rPr>
          <w:rFonts w:ascii="Times New Roman" w:cs="Times New Roman" w:hAnsi="Times New Roman"/>
          <w:color w:val="000000"/>
          <w:sz w:val="24"/>
          <w:szCs w:val="24"/>
        </w:rPr>
        <w:t>Akinyele</w:t>
      </w:r>
      <w:r>
        <w:rPr>
          <w:rFonts w:ascii="Times New Roman" w:cs="Times New Roman" w:hAnsi="Times New Roman"/>
          <w:color w:val="000000"/>
          <w:sz w:val="24"/>
          <w:szCs w:val="24"/>
        </w:rPr>
        <w:t xml:space="preserve"> &amp; </w:t>
      </w:r>
      <w:r>
        <w:rPr>
          <w:rFonts w:ascii="Times New Roman" w:cs="Times New Roman" w:hAnsi="Times New Roman"/>
          <w:color w:val="000000"/>
          <w:sz w:val="24"/>
          <w:szCs w:val="24"/>
        </w:rPr>
        <w:t>Shokunbi</w:t>
      </w:r>
      <w:r>
        <w:rPr>
          <w:rFonts w:ascii="Times New Roman" w:cs="Times New Roman" w:hAnsi="Times New Roman"/>
          <w:color w:val="000000"/>
          <w:sz w:val="24"/>
          <w:szCs w:val="24"/>
        </w:rPr>
        <w:t>, 2015).</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Although tomato paste is an important dietary source of nutrients such as lycopene, β-carotene, vitamin C, and minerals, it can also be a potential route of exposure to toxic heavy metals if contamination occurs during cultivation, processing, or storage. Hence, continuous monitoring of its safety is crucial to prevent long-term health risks associated with heavy metal accumulation.</w:t>
      </w:r>
    </w:p>
    <w:bookmarkStart w:id="17" w:name="_Toc213344924"/>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2.2 Heavy Metals in Food</w:t>
      </w:r>
      <w:bookmarkEnd w:id="17"/>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Heavy metals are metallic elements with relatively high atomic weights and densities greater than 5 g/cm³, and are toxic even at low concentrations. They are naturally present in the earth’s crust and can enter the food chain through various environmental and anthropogenic activities (</w:t>
      </w:r>
      <w:r>
        <w:rPr>
          <w:rFonts w:ascii="Times New Roman" w:cs="Times New Roman" w:hAnsi="Times New Roman"/>
          <w:color w:val="000000"/>
          <w:sz w:val="24"/>
          <w:szCs w:val="24"/>
        </w:rPr>
        <w:t>Jaishankar</w:t>
      </w:r>
      <w:r>
        <w:rPr>
          <w:rFonts w:ascii="Times New Roman" w:cs="Times New Roman" w:hAnsi="Times New Roman"/>
          <w:color w:val="000000"/>
          <w:sz w:val="24"/>
          <w:szCs w:val="24"/>
        </w:rPr>
        <w:t xml:space="preserve"> et al., 2014).</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Some heavy metals, such as Manganese (Mn), Zinc (Zn), and Chromium (Cr), are essential micronutrients required for normal metabolic functions in humans and plants. However, when present in excess, they can become toxic. Other metals such as Lead (Pb), Cadmium (Cd), and Arsenic (As) have no biological function and are toxic even in trace amounts.</w:t>
      </w:r>
    </w:p>
    <w:bookmarkStart w:id="18" w:name="_GoBack"/>
    <w:bookmarkEnd w:id="18"/>
    <w:p>
      <w:pPr>
        <w:pStyle w:val="style0"/>
        <w:spacing w:before="240" w:after="240" w:lineRule="auto" w:line="360"/>
        <w:rPr>
          <w:rFonts w:ascii="Times New Roman" w:cs="Times New Roman" w:hAnsi="Times New Roman"/>
          <w:color w:val="000000"/>
          <w:sz w:val="24"/>
          <w:szCs w:val="24"/>
        </w:rPr>
      </w:pP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Heavy metals in food are of particular concern because of their non-biodegradable nature and their ability to bioaccumulate in tissues over time. Once ingested, these metals may persist in the body for long periods, disrupting enzymatic, neurological, and reproductive functions. The consumption of contaminated foods, such as tomato paste, vegetables, and grains, is therefore one of the most significant pathways of human exposure (WHO, 2011).</w:t>
      </w:r>
    </w:p>
    <w:bookmarkStart w:id="19" w:name="_Toc213344925"/>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2.3 Sources of Heavy Metal Contamination</w:t>
      </w:r>
      <w:bookmarkEnd w:id="19"/>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Heavy metal contamination in food can occur through several environmental and industrial pathways:</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1. Agricultural Practices:</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The use of chemical fertilizers, pesticides, and herbicides that contain trace metals can increase soil contamination. Irrigation with polluted water, sewage sludge, or wastewater also contributes to heavy metal accumulation in crops (Khan et al., 2015).</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2. Industrial Emissions and Soil Contamination:</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Industrial activities such as metal smelting, mining, and fuel combustion release heavy metals into the atmosphere, which eventually settle on soil and plants. Crops grown in such contaminated soil can absorb these metals through their roots.</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3. Processing, Packaging, and Storage:</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During processing, tomato paste can become contaminated through contact with metallic machinery, soldered seams in cans, or packaging materials containing lead-based solder or pigments. Storage under poor conditions can further increase contamination due to corrosion or leaching of metals into the product (Akan et al., 2013).</w:t>
      </w:r>
    </w:p>
    <w:p>
      <w:pPr>
        <w:pStyle w:val="style0"/>
        <w:spacing w:before="240" w:after="240" w:lineRule="auto" w:line="360"/>
        <w:rPr>
          <w:rFonts w:ascii="Times New Roman" w:cs="Times New Roman" w:hAnsi="Times New Roman"/>
          <w:color w:val="000000"/>
          <w:sz w:val="24"/>
          <w:szCs w:val="24"/>
        </w:rPr>
      </w:pPr>
    </w:p>
    <w:p>
      <w:pPr>
        <w:pStyle w:val="style0"/>
        <w:spacing w:before="240" w:after="240" w:lineRule="auto" w:line="360"/>
        <w:rPr>
          <w:rFonts w:ascii="Times New Roman" w:cs="Times New Roman" w:hAnsi="Times New Roman"/>
          <w:color w:val="000000"/>
          <w:sz w:val="24"/>
          <w:szCs w:val="24"/>
        </w:rPr>
      </w:pP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 xml:space="preserve">4. Transportation and </w:t>
      </w:r>
      <w:r>
        <w:rPr>
          <w:rFonts w:ascii="Times New Roman" w:cs="Times New Roman" w:hAnsi="Times New Roman"/>
          <w:color w:val="000000"/>
          <w:sz w:val="24"/>
          <w:szCs w:val="24"/>
        </w:rPr>
        <w:t>H</w:t>
      </w:r>
      <w:r>
        <w:rPr>
          <w:rFonts w:ascii="Times New Roman" w:cs="Times New Roman" w:hAnsi="Times New Roman"/>
          <w:color w:val="000000"/>
          <w:sz w:val="24"/>
          <w:szCs w:val="24"/>
          <w:lang w:val="en-US"/>
        </w:rPr>
        <w:t>a</w:t>
      </w:r>
      <w:r>
        <w:rPr>
          <w:rFonts w:ascii="Times New Roman" w:cs="Times New Roman" w:hAnsi="Times New Roman"/>
          <w:color w:val="000000"/>
          <w:sz w:val="24"/>
          <w:szCs w:val="24"/>
        </w:rPr>
        <w:t>ndling</w:t>
      </w:r>
      <w:r>
        <w:rPr>
          <w:rFonts w:ascii="Times New Roman" w:cs="Times New Roman" w:hAnsi="Times New Roman"/>
          <w:color w:val="000000"/>
          <w:sz w:val="24"/>
          <w:szCs w:val="24"/>
        </w:rPr>
        <w:t>:</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Long-distance transportation in metal containers or vehicles exposed to dust and exhaust fumes can also introduce additional contamination. The extent of contamination depends on environmental exposure and packaging integrity (</w:t>
      </w:r>
      <w:r>
        <w:rPr>
          <w:rFonts w:ascii="Times New Roman" w:cs="Times New Roman" w:hAnsi="Times New Roman"/>
          <w:color w:val="000000"/>
          <w:sz w:val="24"/>
          <w:szCs w:val="24"/>
        </w:rPr>
        <w:t>Olowu</w:t>
      </w:r>
      <w:r>
        <w:rPr>
          <w:rFonts w:ascii="Times New Roman" w:cs="Times New Roman" w:hAnsi="Times New Roman"/>
          <w:color w:val="000000"/>
          <w:sz w:val="24"/>
          <w:szCs w:val="24"/>
        </w:rPr>
        <w:t xml:space="preserve"> et al., 2010).</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Overall, contamination can occur at any stage from cultivation to consumption, emphasizing the need for quality control and monitoring to safeguard public health.</w:t>
      </w:r>
    </w:p>
    <w:bookmarkStart w:id="20" w:name="_Toc213344926"/>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2.4 Health Effects of Selected Heavy Metals</w:t>
      </w:r>
      <w:bookmarkEnd w:id="20"/>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Exposure to heavy metals poses serious health risks because of their cumulative and persistent nature. The severity of health effects depends on the type of metal, its concentration, duration of exposure, and the individual’s physiological condition (</w:t>
      </w:r>
      <w:r>
        <w:rPr>
          <w:rFonts w:ascii="Times New Roman" w:cs="Times New Roman" w:hAnsi="Times New Roman"/>
          <w:color w:val="000000"/>
          <w:sz w:val="24"/>
          <w:szCs w:val="24"/>
        </w:rPr>
        <w:t>Jaishankar</w:t>
      </w:r>
      <w:r>
        <w:rPr>
          <w:rFonts w:ascii="Times New Roman" w:cs="Times New Roman" w:hAnsi="Times New Roman"/>
          <w:color w:val="000000"/>
          <w:sz w:val="24"/>
          <w:szCs w:val="24"/>
        </w:rPr>
        <w:t xml:space="preserve"> et al., 2014; WHO, 2011).</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Lead (Pb):</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Lead is a non-essential metal and one of the most toxic environmental pollutants. Chronic exposure to lead can result in neurotoxicity, anemia, kidney damage, and hypertension. In children, it causes developmental delays, learning difficulties, and reduced IQ levels. Even low concentrations of lead are harmful, as no safe exposure limit has been established (WHO, 2011).</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Cadmium (Cd):</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Cadmium exposure occurs mainly through food consumption and cigarette smoke. It accumulates primarily in the liver and kidneys, causing renal failure, bone demineralization (</w:t>
      </w:r>
      <w:r>
        <w:rPr>
          <w:rFonts w:ascii="Times New Roman" w:cs="Times New Roman" w:hAnsi="Times New Roman"/>
          <w:color w:val="000000"/>
          <w:sz w:val="24"/>
          <w:szCs w:val="24"/>
        </w:rPr>
        <w:t>Itai-Itai</w:t>
      </w:r>
      <w:r>
        <w:rPr>
          <w:rFonts w:ascii="Times New Roman" w:cs="Times New Roman" w:hAnsi="Times New Roman"/>
          <w:color w:val="000000"/>
          <w:sz w:val="24"/>
          <w:szCs w:val="24"/>
        </w:rPr>
        <w:t xml:space="preserve"> disease), and carcinogenic effects. It interferes with calcium and zinc metabolism, thereby weakening bone structure (</w:t>
      </w:r>
      <w:r>
        <w:rPr>
          <w:rFonts w:ascii="Times New Roman" w:cs="Times New Roman" w:hAnsi="Times New Roman"/>
          <w:color w:val="000000"/>
          <w:sz w:val="24"/>
          <w:szCs w:val="24"/>
        </w:rPr>
        <w:t>Akinyele</w:t>
      </w:r>
      <w:r>
        <w:rPr>
          <w:rFonts w:ascii="Times New Roman" w:cs="Times New Roman" w:hAnsi="Times New Roman"/>
          <w:color w:val="000000"/>
          <w:sz w:val="24"/>
          <w:szCs w:val="24"/>
        </w:rPr>
        <w:t xml:space="preserve"> &amp; </w:t>
      </w:r>
      <w:r>
        <w:rPr>
          <w:rFonts w:ascii="Times New Roman" w:cs="Times New Roman" w:hAnsi="Times New Roman"/>
          <w:color w:val="000000"/>
          <w:sz w:val="24"/>
          <w:szCs w:val="24"/>
        </w:rPr>
        <w:t>Shokunbi</w:t>
      </w:r>
      <w:r>
        <w:rPr>
          <w:rFonts w:ascii="Times New Roman" w:cs="Times New Roman" w:hAnsi="Times New Roman"/>
          <w:color w:val="000000"/>
          <w:sz w:val="24"/>
          <w:szCs w:val="24"/>
        </w:rPr>
        <w:t>, 2015).</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Chromium (Cr):</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 xml:space="preserve">Chromium occurs in two main oxidation states: </w:t>
      </w:r>
      <w:r>
        <w:rPr>
          <w:rFonts w:ascii="Times New Roman" w:cs="Times New Roman" w:hAnsi="Times New Roman"/>
          <w:color w:val="000000"/>
          <w:sz w:val="24"/>
          <w:szCs w:val="24"/>
        </w:rPr>
        <w:t>Cr(</w:t>
      </w:r>
      <w:r>
        <w:rPr>
          <w:rFonts w:ascii="Times New Roman" w:cs="Times New Roman" w:hAnsi="Times New Roman"/>
          <w:color w:val="000000"/>
          <w:sz w:val="24"/>
          <w:szCs w:val="24"/>
        </w:rPr>
        <w:t xml:space="preserve">III) and Cr(VI). While </w:t>
      </w:r>
      <w:r>
        <w:rPr>
          <w:rFonts w:ascii="Times New Roman" w:cs="Times New Roman" w:hAnsi="Times New Roman"/>
          <w:color w:val="000000"/>
          <w:sz w:val="24"/>
          <w:szCs w:val="24"/>
        </w:rPr>
        <w:t>Cr(</w:t>
      </w:r>
      <w:r>
        <w:rPr>
          <w:rFonts w:ascii="Times New Roman" w:cs="Times New Roman" w:hAnsi="Times New Roman"/>
          <w:color w:val="000000"/>
          <w:sz w:val="24"/>
          <w:szCs w:val="24"/>
        </w:rPr>
        <w:t xml:space="preserve">III) is an essential trace element involved in glucose metabolism, Cr(VI) is toxic and carcinogenic. Excessive exposure to </w:t>
      </w:r>
      <w:r>
        <w:rPr>
          <w:rFonts w:ascii="Times New Roman" w:cs="Times New Roman" w:hAnsi="Times New Roman"/>
          <w:color w:val="000000"/>
          <w:sz w:val="24"/>
          <w:szCs w:val="24"/>
        </w:rPr>
        <w:t>Cr(</w:t>
      </w:r>
      <w:r>
        <w:rPr>
          <w:rFonts w:ascii="Times New Roman" w:cs="Times New Roman" w:hAnsi="Times New Roman"/>
          <w:color w:val="000000"/>
          <w:sz w:val="24"/>
          <w:szCs w:val="24"/>
        </w:rPr>
        <w:t>VI) can cause skin irritation, respiratory problems, and liver damage (Akan et al., 2013).</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Arsenic (As):</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Arsenic contamination in food and water is a major global concern. Chronic exposure leads to skin lesions, cardiovascular diseases, and cancers of the skin, lungs, and bladder. Ingested arsenic interferes with enzyme function and oxidative phosphorylation, disrupting energy metabolism (FAO/WHO, 2013).</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Manganese (Mn):</w:t>
      </w:r>
    </w:p>
    <w:p>
      <w:pPr>
        <w:pStyle w:val="style0"/>
        <w:spacing w:before="240" w:after="24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Although manganese is essential for enzymatic activity, excessive exposure can cause neurological disorders similar to Parkinson’s disease (</w:t>
      </w:r>
      <w:r>
        <w:rPr>
          <w:rFonts w:ascii="Times New Roman" w:cs="Times New Roman" w:hAnsi="Times New Roman"/>
          <w:color w:val="000000"/>
          <w:sz w:val="24"/>
          <w:szCs w:val="24"/>
        </w:rPr>
        <w:t>manganism</w:t>
      </w:r>
      <w:r>
        <w:rPr>
          <w:rFonts w:ascii="Times New Roman" w:cs="Times New Roman" w:hAnsi="Times New Roman"/>
          <w:color w:val="000000"/>
          <w:sz w:val="24"/>
          <w:szCs w:val="24"/>
        </w:rPr>
        <w:t>). High levels affect the central nervous system, resulting in tremors, muscle rigidity, and cognitive impairment (</w:t>
      </w:r>
      <w:r>
        <w:rPr>
          <w:rFonts w:ascii="Times New Roman" w:cs="Times New Roman" w:hAnsi="Times New Roman"/>
          <w:color w:val="000000"/>
          <w:sz w:val="24"/>
          <w:szCs w:val="24"/>
        </w:rPr>
        <w:t>Oyelami</w:t>
      </w:r>
      <w:r>
        <w:rPr>
          <w:rFonts w:ascii="Times New Roman" w:cs="Times New Roman" w:hAnsi="Times New Roman"/>
          <w:color w:val="000000"/>
          <w:sz w:val="24"/>
          <w:szCs w:val="24"/>
        </w:rPr>
        <w:t xml:space="preserve"> &amp; Fashola, 2017).</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bookmarkStart w:id="21" w:name="_Toc213344927"/>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CHAPTER THREE</w:t>
      </w:r>
      <w:bookmarkEnd w:id="21"/>
    </w:p>
    <w:bookmarkStart w:id="22" w:name="_Toc213344928"/>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MATERIALS AND METHODS</w:t>
      </w:r>
      <w:bookmarkEnd w:id="22"/>
    </w:p>
    <w:bookmarkStart w:id="23" w:name="_Toc213344929"/>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3.1 Materials</w:t>
      </w:r>
      <w:bookmarkEnd w:id="23"/>
      <w:r>
        <w:rPr>
          <w:rFonts w:ascii="Times New Roman" w:hAnsi="Times New Roman"/>
          <w:b/>
          <w:bCs/>
          <w:color w:val="000000"/>
          <w:sz w:val="24"/>
          <w:szCs w:val="24"/>
        </w:rPr>
        <w:t xml:space="preserve"> </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This study was carried out in Sokoto Metropolis, the capital city of Sokoto State, situated in the northwestern region of Nigeria. Sokoto lies between latitude 13°03′N and longitude 5°14′E, characterized by a semi-arid climate with distinct dry and wet seasons. The average annual temperature ranges between 28°C and 40°C, while rainfall averages about 500–800 mm per year. Sokoto is one of the major urban centers in the region, with a rapidly growing population and active commercial activities, including food processing and distribution.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Tomato paste consumption is particularly high in Sokoto metropolis due to its affordability, availability, and frequent use in household cooking and small-scale catering services. The brands selected for this study</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Gino, De Rica, and </w:t>
      </w:r>
      <w:r>
        <w:rPr>
          <w:rFonts w:ascii="Times New Roman" w:cs="Times New Roman" w:hAnsi="Times New Roman"/>
          <w:color w:val="000000"/>
          <w:sz w:val="24"/>
          <w:szCs w:val="24"/>
        </w:rPr>
        <w:t>Nagiko</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are among the most commonly consumed and widely distributed within the metropolis. The choice of Sokoto metropolis as the study area was therefore strategic, reflecting both the high rate of tomato paste consumption and the potential public health implications associated with heavy metal contamination in such widely consumed food products.</w:t>
      </w:r>
    </w:p>
    <w:bookmarkStart w:id="24" w:name="_Toc213344930"/>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3.2. Reagents and Apparatus</w:t>
      </w:r>
      <w:bookmarkEnd w:id="24"/>
    </w:p>
    <w:bookmarkStart w:id="25" w:name="_Toc213344931"/>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3.2.1 Reagents</w:t>
      </w:r>
      <w:bookmarkEnd w:id="25"/>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All reagents used in this research were of analytical grade, obtained from reputable suppliers such as Sigma-Aldrich and Merck. The following reagents were used:</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Here’s your section 3.3.1 Reagents rewritten and neatly presented in table format suitable for a research report:</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Table 3.1: Reagents Used in the Study</w:t>
      </w:r>
    </w:p>
    <w:tbl>
      <w:tblPr>
        <w:tblW w:w="0" w:type="auto"/>
        <w:tblBorders>
          <w:top w:val="single" w:sz="4" w:space="0" w:color="auto"/>
          <w:bottom w:val="single" w:sz="4" w:space="0" w:color="auto"/>
        </w:tblBorders>
        <w:tblLook w:val="04A0" w:firstRow="1" w:lastRow="0" w:firstColumn="1" w:lastColumn="0" w:noHBand="0" w:noVBand="1"/>
      </w:tblPr>
      <w:tblGrid>
        <w:gridCol w:w="2184"/>
        <w:gridCol w:w="2522"/>
        <w:gridCol w:w="2369"/>
        <w:gridCol w:w="2286"/>
      </w:tblGrid>
      <w:tr>
        <w:trPr/>
        <w:tc>
          <w:tcPr>
            <w:tcW w:w="2383" w:type="dxa"/>
            <w:tcBorders>
              <w:top w:val="single" w:sz="4" w:space="0" w:color="auto"/>
              <w:bottom w:val="single" w:sz="4" w:space="0" w:color="auto"/>
            </w:tcBorders>
            <w:shd w:val="clear" w:color="auto" w:fill="auto"/>
          </w:tcPr>
          <w:p>
            <w:pPr>
              <w:pStyle w:val="style0"/>
              <w:spacing w:after="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Reagent</w:t>
            </w:r>
          </w:p>
        </w:tc>
        <w:tc>
          <w:tcPr>
            <w:tcW w:w="2416" w:type="dxa"/>
            <w:tcBorders>
              <w:top w:val="single" w:sz="4" w:space="0" w:color="auto"/>
              <w:bottom w:val="single" w:sz="4" w:space="0" w:color="auto"/>
            </w:tcBorders>
            <w:shd w:val="clear" w:color="auto" w:fill="auto"/>
          </w:tcPr>
          <w:p>
            <w:pPr>
              <w:pStyle w:val="style0"/>
              <w:spacing w:after="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Concentration/Purity</w:t>
            </w:r>
          </w:p>
        </w:tc>
        <w:tc>
          <w:tcPr>
            <w:tcW w:w="2390" w:type="dxa"/>
            <w:tcBorders>
              <w:top w:val="single" w:sz="4" w:space="0" w:color="auto"/>
              <w:bottom w:val="single" w:sz="4" w:space="0" w:color="auto"/>
            </w:tcBorders>
            <w:shd w:val="clear" w:color="auto" w:fill="auto"/>
          </w:tcPr>
          <w:p>
            <w:pPr>
              <w:pStyle w:val="style0"/>
              <w:spacing w:after="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Purpose of Use</w:t>
            </w:r>
          </w:p>
        </w:tc>
        <w:tc>
          <w:tcPr>
            <w:tcW w:w="2387" w:type="dxa"/>
            <w:tcBorders>
              <w:top w:val="single" w:sz="4" w:space="0" w:color="auto"/>
              <w:bottom w:val="single" w:sz="4" w:space="0" w:color="auto"/>
            </w:tcBorders>
            <w:shd w:val="clear" w:color="auto" w:fill="auto"/>
          </w:tcPr>
          <w:p>
            <w:pPr>
              <w:pStyle w:val="style0"/>
              <w:spacing w:after="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Source/Supplier</w:t>
            </w:r>
          </w:p>
        </w:tc>
      </w:tr>
      <w:tr>
        <w:tblPrEx/>
        <w:trPr/>
        <w:tc>
          <w:tcPr>
            <w:tcW w:w="2383" w:type="dxa"/>
            <w:tcBorders>
              <w:top w:val="single" w:sz="4" w:space="0" w:color="auto"/>
              <w:bottom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Nitric acid (HNO₃)</w:t>
            </w:r>
          </w:p>
          <w:p>
            <w:pPr>
              <w:pStyle w:val="style0"/>
              <w:spacing w:after="0" w:lineRule="auto" w:line="240"/>
              <w:jc w:val="both"/>
              <w:rPr>
                <w:rFonts w:ascii="Times New Roman" w:cs="Times New Roman" w:hAnsi="Times New Roman"/>
                <w:color w:val="000000"/>
                <w:sz w:val="24"/>
                <w:szCs w:val="24"/>
              </w:rPr>
            </w:pPr>
          </w:p>
        </w:tc>
        <w:tc>
          <w:tcPr>
            <w:tcW w:w="2416" w:type="dxa"/>
            <w:tcBorders>
              <w:top w:val="single" w:sz="4" w:space="0" w:color="auto"/>
              <w:bottom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65%</w:t>
            </w:r>
          </w:p>
        </w:tc>
        <w:tc>
          <w:tcPr>
            <w:tcW w:w="2390" w:type="dxa"/>
            <w:tcBorders>
              <w:top w:val="single" w:sz="4" w:space="0" w:color="auto"/>
              <w:bottom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Digestion of organic matter</w:t>
            </w:r>
          </w:p>
        </w:tc>
        <w:tc>
          <w:tcPr>
            <w:tcW w:w="2387" w:type="dxa"/>
            <w:tcBorders>
              <w:top w:val="single" w:sz="4" w:space="0" w:color="auto"/>
              <w:bottom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Sigma-</w:t>
            </w:r>
            <w:r>
              <w:rPr>
                <w:rFonts w:ascii="Times New Roman" w:cs="Times New Roman" w:hAnsi="Times New Roman"/>
                <w:color w:val="000000"/>
                <w:sz w:val="24"/>
                <w:szCs w:val="24"/>
              </w:rPr>
              <w:t>Aldrich  Merck</w:t>
            </w:r>
          </w:p>
        </w:tc>
      </w:tr>
      <w:tr>
        <w:tblPrEx/>
        <w:trPr/>
        <w:tc>
          <w:tcPr>
            <w:tcW w:w="2383" w:type="dxa"/>
            <w:tcBorders>
              <w:top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Hydrochloric acid (HCl)</w:t>
            </w:r>
          </w:p>
        </w:tc>
        <w:tc>
          <w:tcPr>
            <w:tcW w:w="2416" w:type="dxa"/>
            <w:tcBorders>
              <w:top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37%</w:t>
            </w:r>
          </w:p>
          <w:p>
            <w:pPr>
              <w:pStyle w:val="style0"/>
              <w:spacing w:after="0" w:lineRule="auto" w:line="240"/>
              <w:jc w:val="both"/>
              <w:rPr>
                <w:rFonts w:ascii="Times New Roman" w:cs="Times New Roman" w:hAnsi="Times New Roman"/>
                <w:color w:val="000000"/>
                <w:sz w:val="24"/>
                <w:szCs w:val="24"/>
              </w:rPr>
            </w:pPr>
          </w:p>
        </w:tc>
        <w:tc>
          <w:tcPr>
            <w:tcW w:w="2390" w:type="dxa"/>
            <w:tcBorders>
              <w:top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Sample stabilization and pH adjustment</w:t>
            </w:r>
          </w:p>
        </w:tc>
        <w:tc>
          <w:tcPr>
            <w:tcW w:w="2387" w:type="dxa"/>
            <w:tcBorders>
              <w:top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Sigma-</w:t>
            </w:r>
            <w:r>
              <w:rPr>
                <w:rFonts w:ascii="Times New Roman" w:cs="Times New Roman" w:hAnsi="Times New Roman"/>
                <w:color w:val="000000"/>
                <w:sz w:val="24"/>
                <w:szCs w:val="24"/>
              </w:rPr>
              <w:t>Aldrich  Merck</w:t>
            </w:r>
          </w:p>
        </w:tc>
      </w:tr>
      <w:tr>
        <w:tblPrEx/>
        <w:trPr/>
        <w:tc>
          <w:tcPr>
            <w:tcW w:w="2383"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Hydrogen peroxide (H₂O₂)</w:t>
            </w:r>
          </w:p>
        </w:tc>
        <w:tc>
          <w:tcPr>
            <w:tcW w:w="2416"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30%</w:t>
            </w:r>
          </w:p>
        </w:tc>
        <w:tc>
          <w:tcPr>
            <w:tcW w:w="239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Oxidizing agent to complete digestion</w:t>
            </w:r>
          </w:p>
        </w:tc>
        <w:tc>
          <w:tcPr>
            <w:tcW w:w="2387"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Sigma-</w:t>
            </w:r>
            <w:r>
              <w:rPr>
                <w:rFonts w:ascii="Times New Roman" w:cs="Times New Roman" w:hAnsi="Times New Roman"/>
                <w:color w:val="000000"/>
                <w:sz w:val="24"/>
                <w:szCs w:val="24"/>
              </w:rPr>
              <w:t>Aldrich  Merck</w:t>
            </w:r>
          </w:p>
        </w:tc>
      </w:tr>
      <w:tr>
        <w:tblPrEx/>
        <w:trPr/>
        <w:tc>
          <w:tcPr>
            <w:tcW w:w="2383"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Distilled water</w:t>
            </w:r>
          </w:p>
          <w:p>
            <w:pPr>
              <w:pStyle w:val="style0"/>
              <w:spacing w:after="0" w:lineRule="auto" w:line="240"/>
              <w:jc w:val="both"/>
              <w:rPr>
                <w:rFonts w:ascii="Times New Roman" w:cs="Times New Roman" w:hAnsi="Times New Roman"/>
                <w:color w:val="000000"/>
                <w:sz w:val="24"/>
                <w:szCs w:val="24"/>
              </w:rPr>
            </w:pPr>
          </w:p>
        </w:tc>
        <w:tc>
          <w:tcPr>
            <w:tcW w:w="2416"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w:t>
            </w:r>
          </w:p>
          <w:p>
            <w:pPr>
              <w:pStyle w:val="style0"/>
              <w:spacing w:after="0" w:lineRule="auto" w:line="240"/>
              <w:jc w:val="both"/>
              <w:rPr>
                <w:rFonts w:ascii="Times New Roman" w:cs="Times New Roman" w:hAnsi="Times New Roman"/>
                <w:color w:val="000000"/>
                <w:sz w:val="24"/>
                <w:szCs w:val="24"/>
              </w:rPr>
            </w:pPr>
          </w:p>
        </w:tc>
        <w:tc>
          <w:tcPr>
            <w:tcW w:w="239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Dilution and preparation of standard solutions</w:t>
            </w:r>
          </w:p>
        </w:tc>
        <w:tc>
          <w:tcPr>
            <w:tcW w:w="2387"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Laboratory supply</w:t>
            </w:r>
          </w:p>
          <w:p>
            <w:pPr>
              <w:pStyle w:val="style0"/>
              <w:spacing w:after="0" w:lineRule="auto" w:line="240"/>
              <w:jc w:val="both"/>
              <w:rPr>
                <w:rFonts w:ascii="Times New Roman" w:cs="Times New Roman" w:hAnsi="Times New Roman"/>
                <w:color w:val="000000"/>
                <w:sz w:val="24"/>
                <w:szCs w:val="24"/>
              </w:rPr>
            </w:pPr>
          </w:p>
        </w:tc>
      </w:tr>
      <w:tr>
        <w:tblPrEx/>
        <w:trPr/>
        <w:tc>
          <w:tcPr>
            <w:tcW w:w="2383"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Standard stock solutions of Pb, Cd, As, Mn, and Cr</w:t>
            </w:r>
          </w:p>
          <w:p>
            <w:pPr>
              <w:pStyle w:val="style0"/>
              <w:spacing w:after="0" w:lineRule="auto" w:line="240"/>
              <w:jc w:val="both"/>
              <w:rPr>
                <w:rFonts w:ascii="Times New Roman" w:cs="Times New Roman" w:hAnsi="Times New Roman"/>
                <w:color w:val="000000"/>
                <w:sz w:val="24"/>
                <w:szCs w:val="24"/>
              </w:rPr>
            </w:pPr>
          </w:p>
        </w:tc>
        <w:tc>
          <w:tcPr>
            <w:tcW w:w="2416"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1000 mg/L</w:t>
            </w:r>
          </w:p>
          <w:p>
            <w:pPr>
              <w:pStyle w:val="style0"/>
              <w:spacing w:after="0" w:lineRule="auto" w:line="240"/>
              <w:jc w:val="both"/>
              <w:rPr>
                <w:rFonts w:ascii="Times New Roman" w:cs="Times New Roman" w:hAnsi="Times New Roman"/>
                <w:color w:val="000000"/>
                <w:sz w:val="24"/>
                <w:szCs w:val="24"/>
              </w:rPr>
            </w:pPr>
          </w:p>
        </w:tc>
        <w:tc>
          <w:tcPr>
            <w:tcW w:w="239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Calibration of Atomic Absorption Spectrophotometer (AAS)</w:t>
            </w:r>
          </w:p>
        </w:tc>
        <w:tc>
          <w:tcPr>
            <w:tcW w:w="2387"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Sigma-</w:t>
            </w:r>
            <w:r>
              <w:rPr>
                <w:rFonts w:ascii="Times New Roman" w:cs="Times New Roman" w:hAnsi="Times New Roman"/>
                <w:color w:val="000000"/>
                <w:sz w:val="24"/>
                <w:szCs w:val="24"/>
              </w:rPr>
              <w:t>Aldrich  Merck</w:t>
            </w:r>
          </w:p>
          <w:p>
            <w:pPr>
              <w:pStyle w:val="style0"/>
              <w:spacing w:after="0" w:lineRule="auto" w:line="240"/>
              <w:jc w:val="both"/>
              <w:rPr>
                <w:rFonts w:ascii="Times New Roman" w:cs="Times New Roman" w:hAnsi="Times New Roman"/>
                <w:color w:val="000000"/>
                <w:sz w:val="24"/>
                <w:szCs w:val="24"/>
              </w:rPr>
            </w:pPr>
          </w:p>
        </w:tc>
      </w:tr>
    </w:tbl>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Certified Reference Materials (CRMs) – used for validation and accuracy checks.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All glassware and plastic containers used during sample preparation and digestion were pre-cleaned by soaking in 10% nitric acid overnight, rinsed thoroughly with distilled water, and air-dried before use.</w:t>
      </w:r>
    </w:p>
    <w:bookmarkStart w:id="26" w:name="_Toc213344932"/>
    <w:p>
      <w:pPr>
        <w:pStyle w:val="style0"/>
        <w:spacing w:after="0" w:lineRule="auto" w:line="240"/>
        <w:rPr>
          <w:rFonts w:ascii="Times New Roman" w:cs="Times New Roman" w:eastAsia="宋体" w:hAnsi="Times New Roman"/>
          <w:b/>
          <w:bCs/>
          <w:color w:val="000000"/>
          <w:sz w:val="24"/>
          <w:szCs w:val="24"/>
        </w:rPr>
      </w:pPr>
      <w:r>
        <w:rPr>
          <w:rFonts w:ascii="Times New Roman" w:hAnsi="Times New Roman"/>
          <w:b/>
          <w:bCs/>
          <w:color w:val="000000"/>
          <w:sz w:val="24"/>
          <w:szCs w:val="24"/>
        </w:rPr>
        <w:br w:type="page"/>
      </w:r>
    </w:p>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3.2.2 Apparatus</w:t>
      </w:r>
      <w:bookmarkEnd w:id="26"/>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following equipment and instruments were used during the study:</w:t>
      </w:r>
    </w:p>
    <w:p>
      <w:pPr>
        <w:pStyle w:val="style0"/>
        <w:spacing w:before="240" w:after="240"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Table 3.2: Apparatus and Instruments Used in the Study</w:t>
      </w:r>
    </w:p>
    <w:tbl>
      <w:tblPr>
        <w:tblW w:w="0" w:type="auto"/>
        <w:tblBorders>
          <w:top w:val="single" w:sz="4" w:space="0" w:color="auto"/>
          <w:bottom w:val="single" w:sz="4" w:space="0" w:color="auto"/>
        </w:tblBorders>
        <w:tblLook w:val="04A0" w:firstRow="1" w:lastRow="0" w:firstColumn="1" w:lastColumn="0" w:noHBand="0" w:noVBand="1"/>
      </w:tblPr>
      <w:tblGrid>
        <w:gridCol w:w="2659"/>
        <w:gridCol w:w="2753"/>
        <w:gridCol w:w="3949"/>
      </w:tblGrid>
      <w:tr>
        <w:trPr/>
        <w:tc>
          <w:tcPr>
            <w:tcW w:w="2394" w:type="dxa"/>
            <w:tcBorders>
              <w:top w:val="single" w:sz="4" w:space="0" w:color="auto"/>
              <w:bottom w:val="single" w:sz="4" w:space="0" w:color="auto"/>
            </w:tcBorders>
            <w:shd w:val="clear" w:color="auto" w:fill="auto"/>
          </w:tcPr>
          <w:p>
            <w:pPr>
              <w:pStyle w:val="style0"/>
              <w:spacing w:after="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Apparatus/Instrument</w:t>
            </w:r>
          </w:p>
        </w:tc>
        <w:tc>
          <w:tcPr>
            <w:tcW w:w="2754" w:type="dxa"/>
            <w:tcBorders>
              <w:top w:val="single" w:sz="4" w:space="0" w:color="auto"/>
              <w:bottom w:val="single" w:sz="4" w:space="0" w:color="auto"/>
            </w:tcBorders>
            <w:shd w:val="clear" w:color="auto" w:fill="auto"/>
          </w:tcPr>
          <w:p>
            <w:pPr>
              <w:pStyle w:val="style0"/>
              <w:spacing w:after="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Specification/Model</w:t>
            </w:r>
          </w:p>
        </w:tc>
        <w:tc>
          <w:tcPr>
            <w:tcW w:w="3960" w:type="dxa"/>
            <w:tcBorders>
              <w:top w:val="single" w:sz="4" w:space="0" w:color="auto"/>
              <w:bottom w:val="single" w:sz="4" w:space="0" w:color="auto"/>
            </w:tcBorders>
            <w:shd w:val="clear" w:color="auto" w:fill="auto"/>
          </w:tcPr>
          <w:p>
            <w:pPr>
              <w:pStyle w:val="style0"/>
              <w:spacing w:after="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Purpose of Use</w:t>
            </w:r>
          </w:p>
        </w:tc>
      </w:tr>
      <w:tr>
        <w:tblPrEx/>
        <w:trPr/>
        <w:tc>
          <w:tcPr>
            <w:tcW w:w="2394" w:type="dxa"/>
            <w:tcBorders>
              <w:top w:val="single" w:sz="4" w:space="0" w:color="auto"/>
              <w:bottom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Analytical balance</w:t>
            </w:r>
          </w:p>
        </w:tc>
        <w:tc>
          <w:tcPr>
            <w:tcW w:w="2754" w:type="dxa"/>
            <w:tcBorders>
              <w:top w:val="single" w:sz="4" w:space="0" w:color="auto"/>
              <w:bottom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±0.001 g sensitivity</w:t>
            </w:r>
          </w:p>
        </w:tc>
        <w:tc>
          <w:tcPr>
            <w:tcW w:w="3960" w:type="dxa"/>
            <w:tcBorders>
              <w:top w:val="single" w:sz="4" w:space="0" w:color="auto"/>
              <w:bottom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Weighing of samples with high precision</w:t>
            </w:r>
          </w:p>
        </w:tc>
      </w:tr>
      <w:tr>
        <w:tblPrEx/>
        <w:trPr/>
        <w:tc>
          <w:tcPr>
            <w:tcW w:w="2394" w:type="dxa"/>
            <w:tcBorders>
              <w:top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Hot plate</w:t>
            </w:r>
          </w:p>
          <w:p>
            <w:pPr>
              <w:pStyle w:val="style0"/>
              <w:spacing w:after="0" w:lineRule="auto" w:line="240"/>
              <w:jc w:val="both"/>
              <w:rPr>
                <w:rFonts w:ascii="Times New Roman" w:cs="Times New Roman" w:hAnsi="Times New Roman"/>
                <w:color w:val="000000"/>
                <w:sz w:val="24"/>
                <w:szCs w:val="24"/>
              </w:rPr>
            </w:pPr>
          </w:p>
        </w:tc>
        <w:tc>
          <w:tcPr>
            <w:tcW w:w="2754" w:type="dxa"/>
            <w:tcBorders>
              <w:top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w:t>
            </w:r>
          </w:p>
          <w:p>
            <w:pPr>
              <w:pStyle w:val="style0"/>
              <w:spacing w:after="0" w:lineRule="auto" w:line="240"/>
              <w:jc w:val="both"/>
              <w:rPr>
                <w:rFonts w:ascii="Times New Roman" w:cs="Times New Roman" w:hAnsi="Times New Roman"/>
                <w:color w:val="000000"/>
                <w:sz w:val="24"/>
                <w:szCs w:val="24"/>
              </w:rPr>
            </w:pPr>
          </w:p>
        </w:tc>
        <w:tc>
          <w:tcPr>
            <w:tcW w:w="3960" w:type="dxa"/>
            <w:tcBorders>
              <w:top w:val="nil"/>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Controlled digestion of samples</w:t>
            </w:r>
          </w:p>
        </w:tc>
      </w:tr>
      <w:tr>
        <w:tblPrEx/>
        <w:trPr/>
        <w:tc>
          <w:tcPr>
            <w:tcW w:w="239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Digestion tubes</w:t>
            </w:r>
          </w:p>
          <w:p>
            <w:pPr>
              <w:pStyle w:val="style0"/>
              <w:spacing w:after="0" w:lineRule="auto" w:line="240"/>
              <w:jc w:val="both"/>
              <w:rPr>
                <w:rFonts w:ascii="Times New Roman" w:cs="Times New Roman" w:hAnsi="Times New Roman"/>
                <w:color w:val="000000"/>
                <w:sz w:val="24"/>
                <w:szCs w:val="24"/>
              </w:rPr>
            </w:pPr>
          </w:p>
        </w:tc>
        <w:tc>
          <w:tcPr>
            <w:tcW w:w="275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Borosilicate glass</w:t>
            </w:r>
          </w:p>
          <w:p>
            <w:pPr>
              <w:pStyle w:val="style0"/>
              <w:spacing w:after="0" w:lineRule="auto" w:line="240"/>
              <w:jc w:val="both"/>
              <w:rPr>
                <w:rFonts w:ascii="Times New Roman" w:cs="Times New Roman" w:hAnsi="Times New Roman"/>
                <w:color w:val="000000"/>
                <w:sz w:val="24"/>
                <w:szCs w:val="24"/>
              </w:rPr>
            </w:pPr>
          </w:p>
        </w:tc>
        <w:tc>
          <w:tcPr>
            <w:tcW w:w="396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Acid digestion of samples</w:t>
            </w:r>
          </w:p>
        </w:tc>
      </w:tr>
      <w:tr>
        <w:tblPrEx/>
        <w:trPr/>
        <w:tc>
          <w:tcPr>
            <w:tcW w:w="239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Volumetric flasks</w:t>
            </w:r>
          </w:p>
          <w:p>
            <w:pPr>
              <w:pStyle w:val="style0"/>
              <w:spacing w:after="0" w:lineRule="auto" w:line="240"/>
              <w:jc w:val="both"/>
              <w:rPr>
                <w:rFonts w:ascii="Times New Roman" w:cs="Times New Roman" w:hAnsi="Times New Roman"/>
                <w:color w:val="000000"/>
                <w:sz w:val="24"/>
                <w:szCs w:val="24"/>
              </w:rPr>
            </w:pPr>
          </w:p>
        </w:tc>
        <w:tc>
          <w:tcPr>
            <w:tcW w:w="275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50 mL and 100 mL</w:t>
            </w:r>
          </w:p>
          <w:p>
            <w:pPr>
              <w:pStyle w:val="style0"/>
              <w:spacing w:after="0" w:lineRule="auto" w:line="240"/>
              <w:jc w:val="both"/>
              <w:rPr>
                <w:rFonts w:ascii="Times New Roman" w:cs="Times New Roman" w:hAnsi="Times New Roman"/>
                <w:color w:val="000000"/>
                <w:sz w:val="24"/>
                <w:szCs w:val="24"/>
              </w:rPr>
            </w:pPr>
          </w:p>
        </w:tc>
        <w:tc>
          <w:tcPr>
            <w:tcW w:w="396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Dilution of digested samples</w:t>
            </w:r>
          </w:p>
        </w:tc>
      </w:tr>
      <w:tr>
        <w:tblPrEx/>
        <w:trPr/>
        <w:tc>
          <w:tcPr>
            <w:tcW w:w="239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Pipettes and burettes</w:t>
            </w:r>
          </w:p>
          <w:p>
            <w:pPr>
              <w:pStyle w:val="style0"/>
              <w:spacing w:after="0" w:lineRule="auto" w:line="240"/>
              <w:jc w:val="both"/>
              <w:rPr>
                <w:rFonts w:ascii="Times New Roman" w:cs="Times New Roman" w:hAnsi="Times New Roman"/>
                <w:color w:val="000000"/>
                <w:sz w:val="24"/>
                <w:szCs w:val="24"/>
              </w:rPr>
            </w:pPr>
          </w:p>
        </w:tc>
        <w:tc>
          <w:tcPr>
            <w:tcW w:w="275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250ml,500ml</w:t>
            </w:r>
          </w:p>
          <w:p>
            <w:pPr>
              <w:pStyle w:val="style0"/>
              <w:spacing w:after="0" w:lineRule="auto" w:line="240"/>
              <w:jc w:val="both"/>
              <w:rPr>
                <w:rFonts w:ascii="Times New Roman" w:cs="Times New Roman" w:hAnsi="Times New Roman"/>
                <w:color w:val="000000"/>
                <w:sz w:val="24"/>
                <w:szCs w:val="24"/>
              </w:rPr>
            </w:pPr>
          </w:p>
        </w:tc>
        <w:tc>
          <w:tcPr>
            <w:tcW w:w="396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Accurate measurement of liquid solutions</w:t>
            </w:r>
          </w:p>
        </w:tc>
      </w:tr>
      <w:tr>
        <w:tblPrEx/>
        <w:trPr/>
        <w:tc>
          <w:tcPr>
            <w:tcW w:w="239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Atomic Absorption Spectrophotometer (AAS)</w:t>
            </w:r>
          </w:p>
        </w:tc>
        <w:tc>
          <w:tcPr>
            <w:tcW w:w="275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Model: Buck Scientific 210 VGP (GF-AAS and Flame Atomizer)</w:t>
            </w:r>
          </w:p>
        </w:tc>
        <w:tc>
          <w:tcPr>
            <w:tcW w:w="396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Determination of heavy metal concentrations</w:t>
            </w:r>
          </w:p>
          <w:p>
            <w:pPr>
              <w:pStyle w:val="style0"/>
              <w:spacing w:after="0" w:lineRule="auto" w:line="240"/>
              <w:jc w:val="both"/>
              <w:rPr>
                <w:rFonts w:ascii="Times New Roman" w:cs="Times New Roman" w:hAnsi="Times New Roman"/>
                <w:color w:val="000000"/>
                <w:sz w:val="24"/>
                <w:szCs w:val="24"/>
              </w:rPr>
            </w:pPr>
          </w:p>
        </w:tc>
      </w:tr>
      <w:tr>
        <w:tblPrEx/>
        <w:trPr/>
        <w:tc>
          <w:tcPr>
            <w:tcW w:w="239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Glass funnels and filter papers</w:t>
            </w:r>
          </w:p>
        </w:tc>
        <w:tc>
          <w:tcPr>
            <w:tcW w:w="2754"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w:t>
            </w:r>
          </w:p>
          <w:p>
            <w:pPr>
              <w:pStyle w:val="style0"/>
              <w:spacing w:after="0" w:lineRule="auto" w:line="240"/>
              <w:jc w:val="both"/>
              <w:rPr>
                <w:rFonts w:ascii="Times New Roman" w:cs="Times New Roman" w:hAnsi="Times New Roman"/>
                <w:color w:val="000000"/>
                <w:sz w:val="24"/>
                <w:szCs w:val="24"/>
              </w:rPr>
            </w:pPr>
          </w:p>
        </w:tc>
        <w:tc>
          <w:tcPr>
            <w:tcW w:w="3960" w:type="dxa"/>
            <w:tcBorders/>
            <w:shd w:val="clear" w:color="auto" w:fill="auto"/>
          </w:tcPr>
          <w:p>
            <w:pPr>
              <w:pStyle w:val="style0"/>
              <w:spacing w:after="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Filtration of digested samples</w:t>
            </w:r>
          </w:p>
        </w:tc>
      </w:tr>
      <w:bookmarkStart w:id="27" w:name="_Toc213344933"/>
    </w:tbl>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3.3 Methods</w:t>
      </w:r>
      <w:bookmarkEnd w:id="27"/>
    </w:p>
    <w:bookmarkStart w:id="28" w:name="_Toc213344934"/>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3.3.1 Sample Collection</w:t>
      </w:r>
      <w:bookmarkEnd w:id="28"/>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Three different brands of tomato paste, namely Gino, De Rica, and </w:t>
      </w:r>
      <w:r>
        <w:rPr>
          <w:rFonts w:ascii="Times New Roman" w:cs="Times New Roman" w:hAnsi="Times New Roman"/>
          <w:color w:val="000000"/>
          <w:sz w:val="24"/>
          <w:szCs w:val="24"/>
        </w:rPr>
        <w:t>Nagiko</w:t>
      </w:r>
      <w:r>
        <w:rPr>
          <w:rFonts w:ascii="Times New Roman" w:cs="Times New Roman" w:hAnsi="Times New Roman"/>
          <w:color w:val="000000"/>
          <w:sz w:val="24"/>
          <w:szCs w:val="24"/>
        </w:rPr>
        <w:t>, were purchased from various retail outlets, supermarkets, and open markets across Sokoto metropolis to ensure sample representativeness. Each brand was collected and, resulting in a total of three samples for analysis. The samples were selected based on their popularity and frequent use among consumers.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All samples were purchased in their original sealed containers to prevent any prior contamination and transported immediately to the Chemistry Laboratory of </w:t>
      </w:r>
      <w:r>
        <w:rPr>
          <w:rFonts w:ascii="Times New Roman" w:cs="Times New Roman" w:hAnsi="Times New Roman"/>
          <w:color w:val="000000"/>
          <w:sz w:val="24"/>
          <w:szCs w:val="24"/>
        </w:rPr>
        <w:t>Usmanu</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Danfodiyo</w:t>
      </w:r>
      <w:r>
        <w:rPr>
          <w:rFonts w:ascii="Times New Roman" w:cs="Times New Roman" w:hAnsi="Times New Roman"/>
          <w:color w:val="000000"/>
          <w:sz w:val="24"/>
          <w:szCs w:val="24"/>
        </w:rPr>
        <w:t xml:space="preserve"> University, Sokoto, for further processing. Upon arrival at the laboratory, the samples were thoroughly checked for expiration dates, batch numbers, and integrity of packaging to ensure they were fit for analysis.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tomato pastes were then removed from their cans, homogenized using a clean glass rod to achieve uniformity, and transferred into pre-cleaned, airtight plastic containers. The containers were labeled appropriately (e.g., G for Gino, D for De Rica, and N for </w:t>
      </w:r>
      <w:r>
        <w:rPr>
          <w:rFonts w:ascii="Times New Roman" w:cs="Times New Roman" w:hAnsi="Times New Roman"/>
          <w:color w:val="000000"/>
          <w:sz w:val="24"/>
          <w:szCs w:val="24"/>
        </w:rPr>
        <w:t>Nagiko</w:t>
      </w:r>
      <w:r>
        <w:rPr>
          <w:rFonts w:ascii="Times New Roman" w:cs="Times New Roman" w:hAnsi="Times New Roman"/>
          <w:color w:val="000000"/>
          <w:sz w:val="24"/>
          <w:szCs w:val="24"/>
        </w:rPr>
        <w:t>) and stored at 4 °C in a refrigerator prior to digestion and analysis. All handling procedures were performed following standard laboratory safety and contamination control practices.</w:t>
      </w:r>
    </w:p>
    <w:bookmarkStart w:id="29" w:name="_Toc213344935"/>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w:t>
      </w:r>
      <w:r>
        <w:rPr>
          <w:rFonts w:ascii="Times New Roman" w:hAnsi="Times New Roman"/>
          <w:b/>
          <w:bCs/>
          <w:color w:val="000000"/>
          <w:sz w:val="24"/>
          <w:szCs w:val="24"/>
        </w:rPr>
        <w:t>3.2</w:t>
      </w:r>
      <w:r>
        <w:rPr>
          <w:rFonts w:ascii="Times New Roman" w:hAnsi="Times New Roman"/>
          <w:b/>
          <w:bCs/>
          <w:color w:val="000000"/>
          <w:sz w:val="24"/>
          <w:szCs w:val="24"/>
        </w:rPr>
        <w:t xml:space="preserve"> Sample Preparation (Acid Digestion)</w:t>
      </w:r>
      <w:bookmarkEnd w:id="29"/>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purpose of acid digestion was to break down the organic matrix of the tomato paste samples and release the heavy metals into solution for analysis. The digestion procedure was adapted from the AOAC (2005) method with slight modifications.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Approximately 2.00 g of each homogenized tomato paste sample was accurately weighed into a clean digestion tube. To each tube, 10 mL of concentrated nitric acid (HNO₃) was added to initiate pre-digestion. The mixture was allowed to stand for about 30 minutes at room temperature to minimize excessive foaming and vigorous reactions.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After pre-digestion, the mixture was placed on a hot plate and gently heated at 80–100°C until the initial brown fumes subsided, indicating partial oxidation of organic matter. Subsequently, 2 mL of hydrogen peroxide (H₂O₂, 30%) was carefully added to enhance oxidation and promote complete digestion. The heating continued until a clear, colorless solution was obtained, signifying near-complete digestion.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After cooling slightly, 1–2 mL of concentrated hydrochloric acid (HCl) was added to each digest and gently refluxed for 2–5 minutes to ensure conversion of all metals to soluble chloride forms and to dissolve any remaining residues. The mixture was then allowed to cool to room temperature.</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resulting digest was filtered through Whatman No. 42 filter paper into a 50 mL volumetric flask and made up to the mark with distilled (deionized) water. The final solution was stored in clean, acid-washed polyethylene bottles and labeled appropriately for atomic absorption spectrophotometric (AAS) analysis.</w:t>
      </w:r>
    </w:p>
    <w:bookmarkStart w:id="30" w:name="_Toc213344936"/>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w:t>
      </w:r>
      <w:r>
        <w:rPr>
          <w:rFonts w:ascii="Times New Roman" w:hAnsi="Times New Roman"/>
          <w:b/>
          <w:bCs/>
          <w:color w:val="000000"/>
          <w:sz w:val="24"/>
          <w:szCs w:val="24"/>
        </w:rPr>
        <w:t>3.3</w:t>
      </w:r>
      <w:r>
        <w:rPr>
          <w:rFonts w:ascii="Times New Roman" w:hAnsi="Times New Roman"/>
          <w:b/>
          <w:bCs/>
          <w:color w:val="000000"/>
          <w:sz w:val="24"/>
          <w:szCs w:val="24"/>
        </w:rPr>
        <w:t xml:space="preserve"> Heavy Metal Analysis</w:t>
      </w:r>
      <w:bookmarkEnd w:id="30"/>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concentrations of lead (Pb), cadmium (Cd), arsenic (As), manganese (Mn), and chromium (Cr) in the digested tomato paste samples were determined using Atomic Absorption Spectrophotometry (AAS).</w:t>
      </w:r>
    </w:p>
    <w:bookmarkStart w:id="31" w:name="_Toc213344937"/>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w:t>
      </w:r>
      <w:r>
        <w:rPr>
          <w:rFonts w:ascii="Times New Roman" w:hAnsi="Times New Roman"/>
          <w:b/>
          <w:bCs/>
          <w:color w:val="000000"/>
          <w:sz w:val="24"/>
          <w:szCs w:val="24"/>
        </w:rPr>
        <w:t>4</w:t>
      </w:r>
      <w:r>
        <w:rPr>
          <w:rFonts w:ascii="Times New Roman" w:hAnsi="Times New Roman"/>
          <w:b/>
          <w:bCs/>
          <w:color w:val="000000"/>
          <w:sz w:val="24"/>
          <w:szCs w:val="24"/>
        </w:rPr>
        <w:t xml:space="preserve"> Instrumental Conditions</w:t>
      </w:r>
      <w:bookmarkEnd w:id="31"/>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AAS was calibrated using freshly prepared working standards for each metal (ranging from 0.1 to 10.0 mg/L) obtained by serial dilution of the stock standard solutions. Each metal was analyzed at its respective wavelength as follows:</w:t>
      </w:r>
    </w:p>
    <w:p>
      <w:pPr>
        <w:pStyle w:val="style0"/>
        <w:spacing w:before="240" w:after="240"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Table :</w:t>
      </w:r>
      <w:r>
        <w:rPr>
          <w:rFonts w:ascii="Times New Roman" w:cs="Times New Roman" w:hAnsi="Times New Roman"/>
          <w:b/>
          <w:bCs/>
          <w:color w:val="000000"/>
          <w:sz w:val="24"/>
          <w:szCs w:val="24"/>
        </w:rPr>
        <w:t>33  Wavelengths</w:t>
      </w:r>
      <w:r>
        <w:rPr>
          <w:rFonts w:ascii="Times New Roman" w:cs="Times New Roman" w:hAnsi="Times New Roman"/>
          <w:b/>
          <w:bCs/>
          <w:color w:val="000000"/>
          <w:sz w:val="24"/>
          <w:szCs w:val="24"/>
        </w:rPr>
        <w:t xml:space="preserve"> and Methods of Atomization for the Determination of Heavy Metals</w:t>
      </w:r>
    </w:p>
    <w:tbl>
      <w:tblPr>
        <w:tblW w:w="0" w:type="auto"/>
        <w:tblBorders>
          <w:top w:val="single" w:sz="4" w:space="0" w:color="auto"/>
          <w:bottom w:val="single" w:sz="4" w:space="0" w:color="auto"/>
        </w:tblBorders>
        <w:tblLook w:val="04A0" w:firstRow="1" w:lastRow="0" w:firstColumn="1" w:lastColumn="0" w:noHBand="0" w:noVBand="1"/>
      </w:tblPr>
      <w:tblGrid>
        <w:gridCol w:w="3116"/>
        <w:gridCol w:w="3121"/>
        <w:gridCol w:w="3123"/>
      </w:tblGrid>
      <w:tr>
        <w:trPr/>
        <w:tc>
          <w:tcPr>
            <w:tcW w:w="3192" w:type="dxa"/>
            <w:tcBorders>
              <w:top w:val="single" w:sz="4" w:space="0" w:color="auto"/>
              <w:bottom w:val="single" w:sz="4" w:space="0" w:color="auto"/>
            </w:tcBorders>
            <w:shd w:val="clear" w:color="auto" w:fill="auto"/>
          </w:tcPr>
          <w:p>
            <w:pPr>
              <w:pStyle w:val="style0"/>
              <w:spacing w:before="240" w:after="24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Metal</w:t>
            </w:r>
          </w:p>
        </w:tc>
        <w:tc>
          <w:tcPr>
            <w:tcW w:w="3192" w:type="dxa"/>
            <w:tcBorders>
              <w:top w:val="single" w:sz="4" w:space="0" w:color="auto"/>
              <w:bottom w:val="single" w:sz="4" w:space="0" w:color="auto"/>
            </w:tcBorders>
            <w:shd w:val="clear" w:color="auto" w:fill="auto"/>
          </w:tcPr>
          <w:p>
            <w:pPr>
              <w:pStyle w:val="style0"/>
              <w:spacing w:before="240" w:after="24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Wavelength (nm)</w:t>
            </w:r>
          </w:p>
        </w:tc>
        <w:tc>
          <w:tcPr>
            <w:tcW w:w="3192" w:type="dxa"/>
            <w:tcBorders>
              <w:top w:val="single" w:sz="4" w:space="0" w:color="auto"/>
              <w:bottom w:val="single" w:sz="4" w:space="0" w:color="auto"/>
            </w:tcBorders>
            <w:shd w:val="clear" w:color="auto" w:fill="auto"/>
          </w:tcPr>
          <w:p>
            <w:pPr>
              <w:pStyle w:val="style0"/>
              <w:spacing w:before="240" w:after="240" w:lineRule="auto" w:line="240"/>
              <w:jc w:val="both"/>
              <w:rPr>
                <w:rFonts w:ascii="Times New Roman" w:cs="Times New Roman" w:hAnsi="Times New Roman"/>
                <w:b/>
                <w:color w:val="000000"/>
                <w:sz w:val="24"/>
                <w:szCs w:val="24"/>
              </w:rPr>
            </w:pPr>
            <w:r>
              <w:rPr>
                <w:rFonts w:ascii="Times New Roman" w:cs="Times New Roman" w:hAnsi="Times New Roman"/>
                <w:b/>
                <w:color w:val="000000"/>
                <w:sz w:val="24"/>
                <w:szCs w:val="24"/>
              </w:rPr>
              <w:t>Method of Atomization</w:t>
            </w:r>
          </w:p>
        </w:tc>
      </w:tr>
      <w:tr>
        <w:tblPrEx/>
        <w:trPr/>
        <w:tc>
          <w:tcPr>
            <w:tcW w:w="3192" w:type="dxa"/>
            <w:tcBorders>
              <w:top w:val="single" w:sz="4" w:space="0" w:color="auto"/>
              <w:bottom w:val="nil"/>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Lead (Pb)</w:t>
            </w:r>
          </w:p>
        </w:tc>
        <w:tc>
          <w:tcPr>
            <w:tcW w:w="3192" w:type="dxa"/>
            <w:tcBorders>
              <w:top w:val="single" w:sz="4" w:space="0" w:color="auto"/>
              <w:bottom w:val="nil"/>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217.0</w:t>
            </w:r>
          </w:p>
        </w:tc>
        <w:tc>
          <w:tcPr>
            <w:tcW w:w="3192" w:type="dxa"/>
            <w:tcBorders>
              <w:top w:val="single" w:sz="4" w:space="0" w:color="auto"/>
              <w:bottom w:val="nil"/>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Graphite Furnace (GF-AAS)</w:t>
            </w:r>
          </w:p>
        </w:tc>
      </w:tr>
      <w:tr>
        <w:tblPrEx/>
        <w:trPr/>
        <w:tc>
          <w:tcPr>
            <w:tcW w:w="3192" w:type="dxa"/>
            <w:tcBorders>
              <w:top w:val="nil"/>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Cadmium (Cd)</w:t>
            </w:r>
          </w:p>
        </w:tc>
        <w:tc>
          <w:tcPr>
            <w:tcW w:w="3192" w:type="dxa"/>
            <w:tcBorders>
              <w:top w:val="nil"/>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228.8</w:t>
            </w:r>
          </w:p>
        </w:tc>
        <w:tc>
          <w:tcPr>
            <w:tcW w:w="3192" w:type="dxa"/>
            <w:tcBorders>
              <w:top w:val="nil"/>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Graphite Furnace (GF-AAS)</w:t>
            </w:r>
          </w:p>
        </w:tc>
      </w:tr>
      <w:tr>
        <w:tblPrEx/>
        <w:trPr/>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Arsenic (As)</w:t>
            </w:r>
          </w:p>
        </w:tc>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193.7</w:t>
            </w:r>
          </w:p>
        </w:tc>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Graphite Furnace (GF-AAS)</w:t>
            </w:r>
          </w:p>
        </w:tc>
      </w:tr>
      <w:tr>
        <w:tblPrEx/>
        <w:trPr/>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Manganese (Mn)</w:t>
            </w:r>
          </w:p>
        </w:tc>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279.5</w:t>
            </w:r>
          </w:p>
        </w:tc>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Flame AAS</w:t>
            </w:r>
          </w:p>
        </w:tc>
      </w:tr>
      <w:tr>
        <w:tblPrEx/>
        <w:trPr/>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Chromium (Cr)</w:t>
            </w:r>
          </w:p>
        </w:tc>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357.9</w:t>
            </w:r>
          </w:p>
        </w:tc>
        <w:tc>
          <w:tcPr>
            <w:tcW w:w="3192" w:type="dxa"/>
            <w:tcBorders/>
            <w:shd w:val="clear" w:color="auto" w:fill="auto"/>
          </w:tcPr>
          <w:p>
            <w:pPr>
              <w:pStyle w:val="style0"/>
              <w:spacing w:before="240" w:after="240" w:lineRule="auto" w:line="240"/>
              <w:jc w:val="both"/>
              <w:rPr>
                <w:rFonts w:ascii="Times New Roman" w:cs="Times New Roman" w:hAnsi="Times New Roman"/>
                <w:color w:val="000000"/>
                <w:sz w:val="24"/>
                <w:szCs w:val="24"/>
              </w:rPr>
            </w:pPr>
            <w:r>
              <w:rPr>
                <w:rFonts w:ascii="Times New Roman" w:cs="Times New Roman" w:hAnsi="Times New Roman"/>
                <w:color w:val="000000"/>
                <w:sz w:val="24"/>
                <w:szCs w:val="24"/>
              </w:rPr>
              <w:t>Flame AAS</w:t>
            </w:r>
          </w:p>
        </w:tc>
      </w:tr>
    </w:tbl>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Between successive readings, the aspiration system was flushed with deionized water to avoid carryover effects. Each sample was analyzed in triplicate to ensure reproducibility. The average of three determinations was used for statistical analysis.</w:t>
      </w:r>
    </w:p>
    <w:p>
      <w:pPr>
        <w:pStyle w:val="style0"/>
        <w:spacing w:before="240" w:after="240" w:lineRule="auto" w:line="360"/>
        <w:jc w:val="both"/>
        <w:rPr>
          <w:rFonts w:ascii="Times New Roman" w:cs="Times New Roman" w:hAnsi="Times New Roman"/>
          <w:b/>
          <w:color w:val="000000"/>
          <w:sz w:val="24"/>
          <w:szCs w:val="24"/>
        </w:rPr>
      </w:pPr>
    </w:p>
    <w:bookmarkStart w:id="32" w:name="_Toc213344938"/>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w:t>
      </w:r>
      <w:r>
        <w:rPr>
          <w:rFonts w:ascii="Times New Roman" w:hAnsi="Times New Roman"/>
          <w:b/>
          <w:bCs/>
          <w:color w:val="000000"/>
          <w:sz w:val="24"/>
          <w:szCs w:val="24"/>
        </w:rPr>
        <w:t>5</w:t>
      </w:r>
      <w:r>
        <w:rPr>
          <w:rFonts w:ascii="Times New Roman" w:hAnsi="Times New Roman"/>
          <w:b/>
          <w:bCs/>
          <w:color w:val="000000"/>
          <w:sz w:val="24"/>
          <w:szCs w:val="24"/>
        </w:rPr>
        <w:t xml:space="preserve"> Quality Control</w:t>
      </w:r>
      <w:bookmarkEnd w:id="32"/>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To ensure accuracy, precision and reliability of analytical results, strict quality control procedures were followed </w:t>
      </w:r>
      <w:r>
        <w:rPr>
          <w:rFonts w:ascii="Times New Roman" w:cs="Times New Roman" w:hAnsi="Times New Roman"/>
          <w:color w:val="000000"/>
          <w:sz w:val="24"/>
          <w:szCs w:val="24"/>
        </w:rPr>
        <w:t>through out</w:t>
      </w:r>
      <w:r>
        <w:rPr>
          <w:rFonts w:ascii="Times New Roman" w:cs="Times New Roman" w:hAnsi="Times New Roman"/>
          <w:color w:val="000000"/>
          <w:sz w:val="24"/>
          <w:szCs w:val="24"/>
        </w:rPr>
        <w:t xml:space="preserve"> the experiment process. All reagents, glass ware and equipment were cleaned, calibrated and handled under controlled laboratory condition to minimize contamination and analytical errors.</w:t>
      </w:r>
    </w:p>
    <w:bookmarkStart w:id="33" w:name="_Toc213344939"/>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3.</w:t>
      </w:r>
      <w:r>
        <w:rPr>
          <w:rFonts w:ascii="Times New Roman" w:hAnsi="Times New Roman"/>
          <w:b/>
          <w:bCs/>
          <w:color w:val="000000"/>
          <w:sz w:val="24"/>
          <w:szCs w:val="24"/>
        </w:rPr>
        <w:t>5.1</w:t>
      </w:r>
      <w:r>
        <w:rPr>
          <w:rFonts w:ascii="Times New Roman" w:hAnsi="Times New Roman"/>
          <w:b/>
          <w:bCs/>
          <w:color w:val="000000"/>
          <w:sz w:val="24"/>
          <w:szCs w:val="24"/>
        </w:rPr>
        <w:t xml:space="preserve"> Data Analysis</w:t>
      </w:r>
      <w:bookmarkEnd w:id="33"/>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raw data obtained from AAS were statistically processed using Microsoft Excel (Version 2021). The mean concentrations and standard deviations (mean ± SD) of the metals in each tomato paste brand were computed.</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Comparative assessments of heavy metal concentrations among the three brands were performed, and the obtained results were compared with permissible limits recommended by the World Health Organization (WHO) and the Food and Agriculture Organization (FAO) for food safety standards.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data were presented in tables and graphical formats (bar charts and histograms) to facilitate visual interpretation. Statistical significance among the samples was evaluated, and deviations above recommended limits were discussed in relation to possible sources of contamination such as raw material origin, processing equipment, and packaging materials.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1"/>
        <w:spacing w:after="240" w:lineRule="auto" w:line="360"/>
        <w:jc w:val="center"/>
        <w:rPr>
          <w:rFonts w:ascii="Times New Roman" w:hAnsi="Times New Roman"/>
          <w:b/>
          <w:bCs/>
          <w:color w:val="000000"/>
          <w:sz w:val="24"/>
          <w:szCs w:val="24"/>
        </w:rPr>
      </w:pPr>
      <w:r>
        <w:rPr>
          <w:rFonts w:ascii="Times New Roman" w:hAnsi="Times New Roman"/>
          <w:color w:val="000000"/>
          <w:sz w:val="24"/>
          <w:szCs w:val="24"/>
        </w:rPr>
        <w:br w:type="page"/>
      </w:r>
      <w:bookmarkStart w:id="34" w:name="_Toc213344940"/>
      <w:r>
        <w:rPr>
          <w:rFonts w:ascii="Times New Roman" w:hAnsi="Times New Roman"/>
          <w:b/>
          <w:bCs/>
          <w:color w:val="000000"/>
          <w:sz w:val="24"/>
          <w:szCs w:val="24"/>
        </w:rPr>
        <w:t>CHAPTER FOUR</w:t>
      </w:r>
      <w:bookmarkEnd w:id="34"/>
    </w:p>
    <w:bookmarkStart w:id="35" w:name="_Toc213344941"/>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RESULTS AND DISCUSSION</w:t>
      </w:r>
      <w:bookmarkEnd w:id="35"/>
    </w:p>
    <w:bookmarkStart w:id="36" w:name="_Toc213344942"/>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4.1 Results</w:t>
      </w:r>
      <w:bookmarkEnd w:id="36"/>
    </w:p>
    <w:bookmarkStart w:id="37" w:name="_Toc213344943"/>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4.1.1 Concentration of Heavy Metals in Tomato Paste Samples</w:t>
      </w:r>
      <w:bookmarkEnd w:id="37"/>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concentrations of the analyzed heavy metals are expressed as mg/kg (milligrams per kilogram) of tomato paste. Each value represents the mean and standard deviation (SD) of triplicate determinations. The summary of the results is presented in Table 4.1.</w:t>
      </w:r>
    </w:p>
    <w:p>
      <w:pPr>
        <w:pStyle w:val="style0"/>
        <w:spacing w:before="240" w:after="240" w:lineRule="auto" w:line="36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b/>
          <w:bCs/>
          <w:color w:val="000000"/>
          <w:sz w:val="24"/>
          <w:szCs w:val="24"/>
          <w:lang w:eastAsia="en-US"/>
        </w:rPr>
        <w:t xml:space="preserve">Table 4.1 Mean Concentrations (mg/L) of Heavy Metals in </w:t>
      </w:r>
      <w:r>
        <w:rPr>
          <w:rFonts w:ascii="Times New Roman" w:cs="Times New Roman" w:eastAsia="Times New Roman" w:hAnsi="Times New Roman"/>
          <w:b/>
          <w:bCs/>
          <w:color w:val="000000"/>
          <w:sz w:val="24"/>
          <w:szCs w:val="24"/>
          <w:lang w:eastAsia="en-US"/>
        </w:rPr>
        <w:t xml:space="preserve">Sachet </w:t>
      </w:r>
      <w:r>
        <w:rPr>
          <w:rFonts w:ascii="Times New Roman" w:cs="Times New Roman" w:eastAsia="Times New Roman" w:hAnsi="Times New Roman"/>
          <w:b/>
          <w:bCs/>
          <w:color w:val="000000"/>
          <w:sz w:val="24"/>
          <w:szCs w:val="24"/>
          <w:lang w:eastAsia="en-US"/>
        </w:rPr>
        <w:t xml:space="preserve"> Food</w:t>
      </w:r>
      <w:r>
        <w:rPr>
          <w:rFonts w:ascii="Times New Roman" w:cs="Times New Roman" w:eastAsia="Times New Roman" w:hAnsi="Times New Roman"/>
          <w:b/>
          <w:bCs/>
          <w:color w:val="000000"/>
          <w:sz w:val="24"/>
          <w:szCs w:val="24"/>
          <w:lang w:eastAsia="en-US"/>
        </w:rPr>
        <w:t xml:space="preserve"> Samples</w:t>
      </w:r>
    </w:p>
    <w:tbl>
      <w:tblPr>
        <w:tblW w:w="8685" w:type="dxa"/>
        <w:jc w:val="center"/>
        <w:tblCellSpacing w:w="15" w:type="dxa"/>
        <w:tblCellMar>
          <w:top w:w="15" w:type="dxa"/>
          <w:left w:w="15" w:type="dxa"/>
          <w:bottom w:w="15" w:type="dxa"/>
          <w:right w:w="15" w:type="dxa"/>
        </w:tblCellMar>
        <w:tblLook w:val="04A0" w:firstRow="1" w:lastRow="0" w:firstColumn="1" w:lastColumn="0" w:noHBand="0" w:noVBand="1"/>
      </w:tblPr>
      <w:tblGrid>
        <w:gridCol w:w="1777"/>
        <w:gridCol w:w="1048"/>
        <w:gridCol w:w="1044"/>
        <w:gridCol w:w="1058"/>
        <w:gridCol w:w="2015"/>
        <w:gridCol w:w="1740"/>
      </w:tblGrid>
      <w:tr>
        <w:trPr>
          <w:trHeight w:val="449" w:hRule="atLeast"/>
          <w:tblHeader/>
          <w:tblCellSpacing w:w="15" w:type="dxa"/>
          <w:jc w:val="center"/>
        </w:trPr>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Metal</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Sample D</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Sample G</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Sample N</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Mean Conc. (mg/L)</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Std. Dev. (mg/L)</w:t>
            </w:r>
          </w:p>
        </w:tc>
      </w:tr>
      <w:tr>
        <w:tblPrEx/>
        <w:trPr>
          <w:trHeight w:val="449" w:hRule="atLeast"/>
          <w:tblCellSpacing w:w="15" w:type="dxa"/>
          <w:jc w:val="center"/>
        </w:trPr>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Cd (Cadmium)</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0.0015</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0.0004</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0.0004</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0.00077</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0.00064</w:t>
            </w:r>
          </w:p>
        </w:tc>
      </w:tr>
      <w:tr>
        <w:tblPrEx/>
        <w:trPr>
          <w:trHeight w:val="474" w:hRule="atLeast"/>
          <w:tblCellSpacing w:w="15" w:type="dxa"/>
          <w:jc w:val="center"/>
        </w:trPr>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Cr (Chromium)</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0.0121</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0.0095</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0.0067</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0.00943</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0.00270</w:t>
            </w:r>
          </w:p>
        </w:tc>
      </w:tr>
      <w:tr>
        <w:tblPrEx/>
        <w:trPr>
          <w:trHeight w:val="449" w:hRule="atLeast"/>
          <w:tblCellSpacing w:w="15" w:type="dxa"/>
          <w:jc w:val="center"/>
        </w:trPr>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Mn (Manganese)</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0.0013</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0.0028</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0.0022</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0.00210</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0.00077</w:t>
            </w:r>
          </w:p>
        </w:tc>
      </w:tr>
      <w:tr>
        <w:tblPrEx/>
        <w:trPr>
          <w:trHeight w:val="449" w:hRule="atLeast"/>
          <w:tblCellSpacing w:w="15" w:type="dxa"/>
          <w:jc w:val="center"/>
        </w:trPr>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As (Arsenic)</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0.0187</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0.0178</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0.0099</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0.01547</w:t>
            </w:r>
          </w:p>
        </w:tc>
        <w:tc>
          <w:tcPr>
            <w:tcW w:w="0" w:type="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0.00484</w:t>
            </w:r>
          </w:p>
        </w:tc>
      </w:tr>
      <w:tr>
        <w:tblPrEx/>
        <w:trPr>
          <w:trHeight w:val="324" w:hRule="atLeast"/>
          <w:tblCellSpacing w:w="15" w:type="dxa"/>
          <w:jc w:val="center"/>
        </w:trPr>
        <w:tc>
          <w:tcPr>
            <w:tcW w:w="0" w:type="auto"/>
            <w:tcBorders>
              <w:bottom w:val="single" w:sz="4" w:space="0" w:color="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Pb (Lead)</w:t>
            </w:r>
          </w:p>
        </w:tc>
        <w:tc>
          <w:tcPr>
            <w:tcW w:w="0" w:type="auto"/>
            <w:tcBorders>
              <w:bottom w:val="single" w:sz="4" w:space="0" w:color="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0.0600</w:t>
            </w:r>
          </w:p>
        </w:tc>
        <w:tc>
          <w:tcPr>
            <w:tcW w:w="0" w:type="auto"/>
            <w:tcBorders>
              <w:bottom w:val="single" w:sz="4" w:space="0" w:color="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0.0087</w:t>
            </w:r>
          </w:p>
        </w:tc>
        <w:tc>
          <w:tcPr>
            <w:tcW w:w="0" w:type="auto"/>
            <w:tcBorders>
              <w:bottom w:val="single" w:sz="4" w:space="0" w:color="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0.0724</w:t>
            </w:r>
          </w:p>
        </w:tc>
        <w:tc>
          <w:tcPr>
            <w:tcW w:w="0" w:type="auto"/>
            <w:tcBorders>
              <w:bottom w:val="single" w:sz="4" w:space="0" w:color="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0.04703</w:t>
            </w:r>
          </w:p>
        </w:tc>
        <w:tc>
          <w:tcPr>
            <w:tcW w:w="0" w:type="auto"/>
            <w:tcBorders>
              <w:bottom w:val="single" w:sz="4" w:space="0" w:color="auto"/>
            </w:tcBorders>
            <w:vAlign w:val="center"/>
            <w:hideMark/>
          </w:tcPr>
          <w:p>
            <w:pPr>
              <w:pStyle w:val="style0"/>
              <w:spacing w:before="240" w:after="240" w:lineRule="auto" w:line="240"/>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0.03261</w:t>
            </w:r>
          </w:p>
        </w:tc>
      </w:tr>
    </w:tbl>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rPr>
          <w:rFonts w:ascii="Times New Roman" w:cs="Times New Roman" w:eastAsia="Times New Roman" w:hAnsi="Times New Roman"/>
          <w:b/>
          <w:bCs/>
          <w:color w:val="000000"/>
          <w:sz w:val="24"/>
          <w:szCs w:val="24"/>
          <w:lang w:eastAsia="en-US"/>
        </w:rPr>
      </w:pPr>
    </w:p>
    <w:p>
      <w:pPr>
        <w:pStyle w:val="style0"/>
        <w:spacing w:before="240" w:after="240" w:lineRule="auto" w:line="360"/>
        <w:rPr>
          <w:rFonts w:ascii="Times New Roman" w:cs="Times New Roman" w:eastAsia="Times New Roman" w:hAnsi="Times New Roman"/>
          <w:b/>
          <w:bCs/>
          <w:color w:val="000000"/>
          <w:sz w:val="24"/>
          <w:szCs w:val="24"/>
          <w:lang w:eastAsia="en-US"/>
        </w:rPr>
      </w:pPr>
    </w:p>
    <w:p>
      <w:pPr>
        <w:pStyle w:val="style0"/>
        <w:spacing w:before="240" w:after="240" w:lineRule="auto" w:line="360"/>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 xml:space="preserve">Table 4.2 Relative Standard Deviation (RSD %) of Heavy Metals in </w:t>
      </w:r>
      <w:r>
        <w:rPr>
          <w:rFonts w:ascii="Times New Roman" w:cs="Times New Roman" w:eastAsia="Times New Roman" w:hAnsi="Times New Roman"/>
          <w:b/>
          <w:bCs/>
          <w:color w:val="000000"/>
          <w:sz w:val="24"/>
          <w:szCs w:val="24"/>
          <w:lang w:eastAsia="en-US"/>
        </w:rPr>
        <w:t xml:space="preserve">Sachet </w:t>
      </w:r>
      <w:r>
        <w:rPr>
          <w:rFonts w:ascii="Times New Roman" w:cs="Times New Roman" w:eastAsia="Times New Roman" w:hAnsi="Times New Roman"/>
          <w:b/>
          <w:bCs/>
          <w:color w:val="000000"/>
          <w:sz w:val="24"/>
          <w:szCs w:val="24"/>
          <w:lang w:eastAsia="en-US"/>
        </w:rPr>
        <w:t xml:space="preserve"> Food</w:t>
      </w:r>
      <w:r>
        <w:rPr>
          <w:rFonts w:ascii="Times New Roman" w:cs="Times New Roman" w:eastAsia="Times New Roman" w:hAnsi="Times New Roman"/>
          <w:b/>
          <w:bCs/>
          <w:color w:val="000000"/>
          <w:sz w:val="24"/>
          <w:szCs w:val="24"/>
          <w:lang w:eastAsia="en-US"/>
        </w:rPr>
        <w:t xml:space="preserve"> Samples</w:t>
      </w:r>
    </w:p>
    <w:tbl>
      <w:tblPr>
        <w:tblW w:w="9309" w:type="dxa"/>
        <w:jc w:val="center"/>
        <w:tblCellSpacing w:w="15" w:type="dxa"/>
        <w:tblCellMar>
          <w:top w:w="15" w:type="dxa"/>
          <w:left w:w="15" w:type="dxa"/>
          <w:bottom w:w="15" w:type="dxa"/>
          <w:right w:w="15" w:type="dxa"/>
        </w:tblCellMar>
        <w:tblLook w:val="04A0" w:firstRow="1" w:lastRow="0" w:firstColumn="1" w:lastColumn="0" w:noHBand="0" w:noVBand="1"/>
      </w:tblPr>
      <w:tblGrid>
        <w:gridCol w:w="2340"/>
        <w:gridCol w:w="1361"/>
        <w:gridCol w:w="1351"/>
        <w:gridCol w:w="1385"/>
        <w:gridCol w:w="2870"/>
      </w:tblGrid>
      <w:tr>
        <w:trPr>
          <w:trHeight w:val="372" w:hRule="atLeast"/>
          <w:tblHeader/>
          <w:tblCellSpacing w:w="15" w:type="dxa"/>
          <w:jc w:val="center"/>
        </w:trPr>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Metal</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Sample D</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Sample G</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Sample N</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Mean RSD (%)</w:t>
            </w:r>
          </w:p>
        </w:tc>
      </w:tr>
      <w:tr>
        <w:tblPrEx/>
        <w:trPr>
          <w:trHeight w:val="391" w:hRule="atLeast"/>
          <w:tblCellSpacing w:w="15" w:type="dxa"/>
          <w:jc w:val="center"/>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Cd (Cadmium)</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12.98</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2.70</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2.27</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5.98</w:t>
            </w:r>
          </w:p>
        </w:tc>
      </w:tr>
      <w:tr>
        <w:tblPrEx/>
        <w:trPr>
          <w:trHeight w:val="372" w:hRule="atLeast"/>
          <w:tblCellSpacing w:w="15" w:type="dxa"/>
          <w:jc w:val="center"/>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Cr (Chromium)</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6.03</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3.79</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3.93</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4.58</w:t>
            </w:r>
          </w:p>
        </w:tc>
      </w:tr>
      <w:tr>
        <w:tblPrEx/>
        <w:trPr>
          <w:trHeight w:val="391" w:hRule="atLeast"/>
          <w:tblCellSpacing w:w="15" w:type="dxa"/>
          <w:jc w:val="center"/>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Mn (Manganese)</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0.56</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1.17</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1.19</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0.97</w:t>
            </w:r>
          </w:p>
        </w:tc>
      </w:tr>
      <w:tr>
        <w:tblPrEx/>
        <w:trPr>
          <w:trHeight w:val="372" w:hRule="atLeast"/>
          <w:tblCellSpacing w:w="15" w:type="dxa"/>
          <w:jc w:val="center"/>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As (Arsenic)</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28.34</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18.25</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10.75</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19.11</w:t>
            </w:r>
          </w:p>
        </w:tc>
      </w:tr>
      <w:tr>
        <w:tblPrEx/>
        <w:trPr>
          <w:trHeight w:val="372" w:hRule="atLeast"/>
          <w:tblCellSpacing w:w="15" w:type="dxa"/>
          <w:jc w:val="center"/>
        </w:trPr>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Pb (Lead)</w:t>
            </w:r>
          </w:p>
        </w:tc>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2.33</w:t>
            </w:r>
          </w:p>
        </w:tc>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2.14</w:t>
            </w:r>
          </w:p>
        </w:tc>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51.06</w:t>
            </w:r>
          </w:p>
        </w:tc>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18.51</w:t>
            </w:r>
          </w:p>
        </w:tc>
      </w:tr>
      <w:bookmarkStart w:id="38" w:name="_Toc213344944"/>
    </w:tbl>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 xml:space="preserve">4. </w:t>
      </w:r>
      <w:r>
        <w:rPr>
          <w:rFonts w:ascii="Times New Roman" w:hAnsi="Times New Roman"/>
          <w:b/>
          <w:bCs/>
          <w:color w:val="000000"/>
          <w:sz w:val="24"/>
          <w:szCs w:val="24"/>
        </w:rPr>
        <w:t xml:space="preserve">2 </w:t>
      </w:r>
      <w:r>
        <w:rPr>
          <w:rFonts w:ascii="Times New Roman" w:hAnsi="Times New Roman"/>
          <w:b/>
          <w:bCs/>
          <w:color w:val="000000"/>
          <w:sz w:val="24"/>
          <w:szCs w:val="24"/>
        </w:rPr>
        <w:t>Discussion of Results</w:t>
      </w:r>
      <w:bookmarkEnd w:id="38"/>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concentrations of selected heavy metals — Cadmium (Cd), Chromium (Cr), Manganese (Mn), Arsenic (As), and Lead (Pb) — were determined in three samples (D, G, and N) using Atomic Absorption Spectrophotometry (AAS). The mean concentrations of the metals were compared to international permissible limits such as those set by the World Health Organization (WHO, 2011) and the Food and Agriculture Organization (FAO, 2013) to assess their safety levels.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Cadmium (Cd) concentrations ranged from 0.0004 to 0.0015 mg/L, with a mean value of 0.00077 mg/L. These values are significantly below the WHO/FAO maximum permissible limit of 0.01 mg/L for food and water samples. The low cadmium content indicates minimal contamination and suggests that the samples are free from industrial or environmental Cd pollution.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Chromium (Cr) concentrations were between 0.0067 and 0.0121 mg/L, averaging 0.00943 mg/L. Chromium is an essential trace element, but excessive exposure can be toxic. The recorded concentrations fall within the acceptable limit of 0.05 mg/L, showing that the samples are safe concerning chromium levels.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Manganese (Mn) was detected in all samples at low concentrations ranging from 0.0013 to 0.0028 mg/L, with an average of 0.00210 mg/L. These results indicate normal trace levels of manganese, as this element is naturally occurring and necessary in small quantities for human metabolism. The values obtained are far below the WHO recommended limit of 0.4 mg/L, implying no significant contamination.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Arsenic (As) concentrations ranged from 0.0099 to 0.0187 mg/L, with a mean of 0.01547 mg/L. Although these values are below the WHO permissible limit of 0.05 mg/L, the presence of arsenic, even in small quantities, is of concern due to its cumulative toxicity. Continuous exposure could lead to long-term health risks such as skin lesions, cardiovascular disorders, and carcinogenic effects. Therefore, periodic monitoring of arsenic levels is recommended.</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Lead (Pb) concentrations showed noticeable variation across the samples, ranging from 0.0087 to 0.0724 mg/L, with an average of 0.04703 mg/L. Notably, Sample N (0.0724 mg/L) exceeded the WHO limit of 0.05 mg/L, suggesting possible contamination during processing, packaging, or environmental exposure. Lead is a non-essential and highly toxic metal that can cause neurological and developmental disorders, especially in children. The elevated lead level in one sample highlights the need for improved quality control and strict regulatory supervision.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Relative Standard Deviation (RSD%) values showed acceptable precision for most metals (&lt;10%) except for As and Pb, which exhibited higher variability. This may be attributed to uneven distribution of these elements in the samples or instrumental sensitivity limitations. Generally, the results reveal that most of the analyzed metals are within permissible limits, with the exception of lead in one sample.</w:t>
      </w:r>
    </w:p>
    <w:p>
      <w:pPr>
        <w:pStyle w:val="style0"/>
        <w:spacing w:before="240" w:after="240" w:lineRule="auto" w:line="360"/>
        <w:jc w:val="both"/>
        <w:rPr>
          <w:rFonts w:ascii="Times New Roman" w:cs="Times New Roman" w:hAnsi="Times New Roman"/>
          <w:color w:val="000000"/>
          <w:sz w:val="24"/>
          <w:szCs w:val="24"/>
        </w:rPr>
      </w:pPr>
    </w:p>
    <w:bookmarkStart w:id="39" w:name="_Toc213344945"/>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4.3 Comparison of Results</w:t>
      </w:r>
      <w:bookmarkEnd w:id="39"/>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concentrations of Cadmium (Cd), Chromium (Cr), Manganese (Mn), Arsenic (As), and Lead (Pb) obtained from the analyzed samples were compared with international permissible limits and previous related studies to assess their safety levels and possible sources of contamination.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Comparison with WHO/FAO Permissible Limits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Table 4.3 shows the comparison between the mean concentrations obtained in this study and the recommended limits by the World Health Organization (WHO, 2011) and the Food and Agriculture Organization (FAO, 2013).</w:t>
      </w:r>
    </w:p>
    <w:bookmarkStart w:id="40" w:name="_Toc213344946"/>
    <w:p>
      <w:pPr>
        <w:pStyle w:val="style0"/>
        <w:spacing w:before="240" w:after="240" w:lineRule="auto" w:line="360"/>
        <w:outlineLvl w:val="2"/>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 xml:space="preserve">Table: 4.3 Mean Concentrations of Trace Metals in </w:t>
      </w:r>
      <w:r>
        <w:rPr>
          <w:rFonts w:ascii="Times New Roman" w:cs="Times New Roman" w:eastAsia="Times New Roman" w:hAnsi="Times New Roman"/>
          <w:b/>
          <w:bCs/>
          <w:color w:val="000000"/>
          <w:sz w:val="24"/>
          <w:szCs w:val="24"/>
          <w:lang w:eastAsia="en-US"/>
        </w:rPr>
        <w:t xml:space="preserve">Sachet </w:t>
      </w:r>
      <w:r>
        <w:rPr>
          <w:rFonts w:ascii="Times New Roman" w:cs="Times New Roman" w:eastAsia="Times New Roman" w:hAnsi="Times New Roman"/>
          <w:b/>
          <w:bCs/>
          <w:color w:val="000000"/>
          <w:sz w:val="24"/>
          <w:szCs w:val="24"/>
          <w:lang w:eastAsia="en-US"/>
        </w:rPr>
        <w:t xml:space="preserve"> Food</w:t>
      </w:r>
      <w:r>
        <w:rPr>
          <w:rFonts w:ascii="Times New Roman" w:cs="Times New Roman" w:eastAsia="Times New Roman" w:hAnsi="Times New Roman"/>
          <w:b/>
          <w:bCs/>
          <w:color w:val="000000"/>
          <w:sz w:val="24"/>
          <w:szCs w:val="24"/>
          <w:lang w:eastAsia="en-US"/>
        </w:rPr>
        <w:t xml:space="preserve"> Samples Compared to WHO/FAO Limits</w:t>
      </w:r>
      <w:bookmarkEnd w:id="4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7"/>
        <w:gridCol w:w="2629"/>
        <w:gridCol w:w="2164"/>
        <w:gridCol w:w="2878"/>
      </w:tblGrid>
      <w:tr>
        <w:trPr>
          <w:tblHeader/>
          <w:tblCellSpacing w:w="15" w:type="dxa"/>
        </w:trPr>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Metal</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Mean Concentration (mg/L)</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WHO/FAO Limit (mg/L)</w:t>
            </w:r>
          </w:p>
        </w:tc>
        <w:tc>
          <w:tcPr>
            <w:tcW w:w="0" w:type="auto"/>
            <w:tcBorders>
              <w:top w:val="single" w:sz="4" w:space="0" w:color="auto"/>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b/>
                <w:bCs/>
                <w:color w:val="000000"/>
                <w:sz w:val="24"/>
                <w:szCs w:val="24"/>
                <w:lang w:eastAsia="en-US"/>
              </w:rPr>
            </w:pPr>
            <w:r>
              <w:rPr>
                <w:rFonts w:ascii="Times New Roman" w:cs="Times New Roman" w:eastAsia="Times New Roman" w:hAnsi="Times New Roman"/>
                <w:b/>
                <w:bCs/>
                <w:color w:val="000000"/>
                <w:sz w:val="24"/>
                <w:szCs w:val="24"/>
                <w:lang w:eastAsia="en-US"/>
              </w:rPr>
              <w:t>Remark</w:t>
            </w:r>
          </w:p>
        </w:tc>
      </w:tr>
      <w:tr>
        <w:tblPrEx/>
        <w:trPr>
          <w:tblCellSpacing w:w="15" w:type="dxa"/>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Cd (Cadmium)</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0.00077</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0.01</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Within safe limit</w:t>
            </w:r>
          </w:p>
        </w:tc>
      </w:tr>
      <w:tr>
        <w:tblPrEx/>
        <w:trPr>
          <w:tblCellSpacing w:w="15" w:type="dxa"/>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Cr (Chromium)</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0.00943</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0.05</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Within safe limit</w:t>
            </w:r>
          </w:p>
        </w:tc>
      </w:tr>
      <w:tr>
        <w:tblPrEx/>
        <w:trPr>
          <w:tblCellSpacing w:w="15" w:type="dxa"/>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Mn (Manganese)</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0.00210</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0.40</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Within safe limit</w:t>
            </w:r>
          </w:p>
        </w:tc>
      </w:tr>
      <w:tr>
        <w:tblPrEx/>
        <w:trPr>
          <w:tblCellSpacing w:w="15" w:type="dxa"/>
        </w:trPr>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As (Arsenic)</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0.01547</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0.05</w:t>
            </w:r>
          </w:p>
        </w:tc>
        <w:tc>
          <w:tcPr>
            <w:tcW w:w="0" w:type="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Within safe limit</w:t>
            </w:r>
          </w:p>
        </w:tc>
      </w:tr>
      <w:tr>
        <w:tblPrEx/>
        <w:trPr>
          <w:tblCellSpacing w:w="15" w:type="dxa"/>
        </w:trPr>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Pb (Lead)</w:t>
            </w:r>
          </w:p>
        </w:tc>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0.04703</w:t>
            </w:r>
          </w:p>
        </w:tc>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0.05</w:t>
            </w:r>
          </w:p>
        </w:tc>
        <w:tc>
          <w:tcPr>
            <w:tcW w:w="0" w:type="auto"/>
            <w:tcBorders>
              <w:bottom w:val="single" w:sz="4" w:space="0" w:color="auto"/>
            </w:tcBorders>
            <w:vAlign w:val="center"/>
            <w:hideMark/>
          </w:tcPr>
          <w:p>
            <w:pPr>
              <w:pStyle w:val="style0"/>
              <w:spacing w:before="240" w:after="240" w:lineRule="auto" w:line="240"/>
              <w:jc w:val="center"/>
              <w:rPr>
                <w:rFonts w:ascii="Times New Roman" w:cs="Times New Roman" w:eastAsia="Times New Roman" w:hAnsi="Times New Roman"/>
                <w:color w:val="000000"/>
                <w:sz w:val="24"/>
                <w:szCs w:val="24"/>
                <w:lang w:eastAsia="en-US"/>
              </w:rPr>
            </w:pPr>
            <w:r>
              <w:rPr>
                <w:rFonts w:ascii="Times New Roman" w:cs="Times New Roman" w:eastAsia="Times New Roman" w:hAnsi="Times New Roman"/>
                <w:color w:val="000000"/>
                <w:sz w:val="24"/>
                <w:szCs w:val="24"/>
                <w:lang w:eastAsia="en-US"/>
              </w:rPr>
              <w:t>Slightly above limit in one sample</w:t>
            </w:r>
          </w:p>
        </w:tc>
      </w:tr>
    </w:tbl>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results show that Cd, Cr, Mn, and </w:t>
      </w:r>
      <w:r>
        <w:rPr>
          <w:rFonts w:ascii="Times New Roman" w:cs="Times New Roman" w:hAnsi="Times New Roman"/>
          <w:color w:val="000000"/>
          <w:sz w:val="24"/>
          <w:szCs w:val="24"/>
        </w:rPr>
        <w:t>As</w:t>
      </w:r>
      <w:r>
        <w:rPr>
          <w:rFonts w:ascii="Times New Roman" w:cs="Times New Roman" w:hAnsi="Times New Roman"/>
          <w:color w:val="000000"/>
          <w:sz w:val="24"/>
          <w:szCs w:val="24"/>
        </w:rPr>
        <w:t xml:space="preserve"> concentrations were all below the permissible limits, indicating safe levels in the analyzed samples. However, Pb showed a relatively higher concentration in one of the samples (0.0724 mg/L), slightly exceeding the WHO/FAO standard. </w:t>
      </w:r>
      <w:r>
        <w:rPr>
          <w:rFonts w:ascii="Times New Roman" w:cs="Times New Roman" w:hAnsi="Times New Roman"/>
          <w:color w:val="000000"/>
          <w:sz w:val="24"/>
          <w:szCs w:val="24"/>
        </w:rPr>
        <w:t>This suggests possible contamination from environmental sources, packaging materials, or production processes.</w:t>
      </w:r>
    </w:p>
    <w:bookmarkStart w:id="41" w:name="_Toc213344947"/>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4.4 Health Implications</w:t>
      </w:r>
      <w:bookmarkEnd w:id="41"/>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presence of heavy metals in food samples, even at low concentrations, poses potential health risks because of their tendency to bioaccumulate in body tissues. The results obtained from this study show that while most metals were within permissible limits, the detection of arsenic (As) and lead (Pb) at relatively higher levels in some samples raises important health concerns.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Cadmium (Cd)</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Cadmium is a highly toxic metal that can enter the human body through ingestion of contaminated food or water. Long-term exposure, even at low concentrations, can result in kidney dysfunction, bone demineralization, and liver damage. In this study, cadmium concentrations ranged from 0.0004 to 0.0015 mg/L, which are far below the WHO/FAO limit of 0.01 mg/L, indicating that the samples pose no immediate health risk from cadmium exposure. However, prolonged consumption could still contribute to accumulation over time.</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Chromium (Cr)</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Chromium exists in two main oxidation states: </w:t>
      </w:r>
      <w:r>
        <w:rPr>
          <w:rFonts w:ascii="Times New Roman" w:cs="Times New Roman" w:hAnsi="Times New Roman"/>
          <w:color w:val="000000"/>
          <w:sz w:val="24"/>
          <w:szCs w:val="24"/>
        </w:rPr>
        <w:t>Cr(</w:t>
      </w:r>
      <w:r>
        <w:rPr>
          <w:rFonts w:ascii="Times New Roman" w:cs="Times New Roman" w:hAnsi="Times New Roman"/>
          <w:color w:val="000000"/>
          <w:sz w:val="24"/>
          <w:szCs w:val="24"/>
        </w:rPr>
        <w:t xml:space="preserve">III), which is an essential nutrient involved in glucose metabolism, and Cr(VI), which is highly toxic and carcinogenic. The concentrations observed in this study (0.0067–0.0121 mg/L) are within acceptable limits. Thus, the presence of chromium in these samples is unlikely to cause adverse effects. However, chronic exposure to high levels of </w:t>
      </w:r>
      <w:r>
        <w:rPr>
          <w:rFonts w:ascii="Times New Roman" w:cs="Times New Roman" w:hAnsi="Times New Roman"/>
          <w:color w:val="000000"/>
          <w:sz w:val="24"/>
          <w:szCs w:val="24"/>
        </w:rPr>
        <w:t>Cr(</w:t>
      </w:r>
      <w:r>
        <w:rPr>
          <w:rFonts w:ascii="Times New Roman" w:cs="Times New Roman" w:hAnsi="Times New Roman"/>
          <w:color w:val="000000"/>
          <w:sz w:val="24"/>
          <w:szCs w:val="24"/>
        </w:rPr>
        <w:t>VI) could lead to skin irritations, ulcers, and respiratory disorders.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Manganese (Mn)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Manganese is an essential trace element required for enzyme activation and normal metabolic functions. However, excessive exposure can affect the nervous system, leading to symptoms similar to Parkinson’s disease (</w:t>
      </w:r>
      <w:r>
        <w:rPr>
          <w:rFonts w:ascii="Times New Roman" w:cs="Times New Roman" w:hAnsi="Times New Roman"/>
          <w:color w:val="000000"/>
          <w:sz w:val="24"/>
          <w:szCs w:val="24"/>
        </w:rPr>
        <w:t>manganism</w:t>
      </w:r>
      <w:r>
        <w:rPr>
          <w:rFonts w:ascii="Times New Roman" w:cs="Times New Roman" w:hAnsi="Times New Roman"/>
          <w:color w:val="000000"/>
          <w:sz w:val="24"/>
          <w:szCs w:val="24"/>
        </w:rPr>
        <w:t xml:space="preserve">). The mean manganese concentration of 0.00210 mg/L </w:t>
      </w:r>
      <w:r>
        <w:rPr>
          <w:rFonts w:ascii="Times New Roman" w:cs="Times New Roman" w:hAnsi="Times New Roman"/>
          <w:color w:val="000000"/>
          <w:sz w:val="24"/>
          <w:szCs w:val="24"/>
        </w:rPr>
        <w:t>recorded in this study is significantly lower than the WHO limit of 0.4 mg/L, suggesting that the samples are safe with respect to manganese content.</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Arsenic (As)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Arsenic is one of the most toxic elements known, and chronic exposure is associated with serious health effects such as skin lesions, cardiovascular diseases, and various cancers (particularly of the skin, lungs, and bladder). Although the mean arsenic concentration (0.01547 mg/L) was below the WHO limit of 0.05 mg/L, its presence in food products is concerning because arsenic can accumulate in the body over time. Long-term exposure to low doses can still pose significant health risks, especially for vulnerable groups such as children and pregnant women.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Lead (Pb)</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Lead is a non-essential and cumulative toxic metal with no safe threshold of exposure. It can cause severe neurological, hematological, and renal damage. Chronic lead poisoning results in impaired cognitive development, anemia, hypertension, and reproductive toxicity. The highest lead concentration observed in this study (0.0724 mg/L) exceeded the WHO permissible limit of 0.05 mg/L, indicating potential contamination and possible health risk upon continuous consumption. This finding highlights the need for strict monitoring of lead levels in food products.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Overall Health Assessment</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overall evaluation shows that while Cd, Cr, Mn, and </w:t>
      </w:r>
      <w:r>
        <w:rPr>
          <w:rFonts w:ascii="Times New Roman" w:cs="Times New Roman" w:hAnsi="Times New Roman"/>
          <w:color w:val="000000"/>
          <w:sz w:val="24"/>
          <w:szCs w:val="24"/>
        </w:rPr>
        <w:t>As</w:t>
      </w:r>
      <w:r>
        <w:rPr>
          <w:rFonts w:ascii="Times New Roman" w:cs="Times New Roman" w:hAnsi="Times New Roman"/>
          <w:color w:val="000000"/>
          <w:sz w:val="24"/>
          <w:szCs w:val="24"/>
        </w:rPr>
        <w:t xml:space="preserve"> are within safe limits, Pb presents a potential public health concern. Continuous exposure to foods containing elevated lead or arsenic levels can have cumulative toxic effects, especially in children, who are more susceptible to neurological damage. The findings emphasize the importance of routine quality control, consumer awareness, and regulatory enforcement to ensure food safety and public health protection.</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bookmarkStart w:id="42" w:name="_Toc213344948"/>
    <w:p>
      <w:pPr>
        <w:pStyle w:val="style0"/>
        <w:spacing w:before="240" w:after="240" w:lineRule="auto" w:line="360"/>
        <w:jc w:val="center"/>
        <w:rPr>
          <w:rFonts w:ascii="Times New Roman" w:cs="Times New Roman" w:hAnsi="Times New Roman"/>
          <w:b/>
          <w:bCs/>
          <w:color w:val="000000"/>
          <w:sz w:val="24"/>
          <w:szCs w:val="24"/>
        </w:rPr>
      </w:pPr>
      <w:r>
        <w:rPr>
          <w:rFonts w:ascii="Times New Roman" w:hAnsi="Times New Roman"/>
          <w:b/>
          <w:bCs/>
          <w:color w:val="000000"/>
          <w:sz w:val="24"/>
          <w:szCs w:val="24"/>
        </w:rPr>
        <w:t>CHAPTER FIVE</w:t>
      </w:r>
      <w:bookmarkEnd w:id="42"/>
    </w:p>
    <w:bookmarkStart w:id="43" w:name="_Toc213344949"/>
    <w:p>
      <w:pPr>
        <w:pStyle w:val="style1"/>
        <w:spacing w:after="240" w:lineRule="auto" w:line="360"/>
        <w:jc w:val="center"/>
        <w:rPr>
          <w:rFonts w:ascii="Times New Roman" w:hAnsi="Times New Roman"/>
          <w:b/>
          <w:bCs/>
          <w:color w:val="000000"/>
          <w:sz w:val="24"/>
          <w:szCs w:val="24"/>
        </w:rPr>
      </w:pPr>
      <w:r>
        <w:rPr>
          <w:rFonts w:ascii="Times New Roman" w:hAnsi="Times New Roman"/>
          <w:b/>
          <w:bCs/>
          <w:color w:val="000000"/>
          <w:sz w:val="24"/>
          <w:szCs w:val="24"/>
        </w:rPr>
        <w:t>CONCLUSION AND RECOMMENDATIONS</w:t>
      </w:r>
      <w:bookmarkEnd w:id="43"/>
    </w:p>
    <w:bookmarkStart w:id="44" w:name="_Toc213344950"/>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5.1 Conclusion</w:t>
      </w:r>
      <w:bookmarkEnd w:id="44"/>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evaluation of heavy metals (Cd, Cr, Mn, As, and Pb) in the analyzed samples revealed varying concentrations among the three samples (D, G, and N). The results showed that Cadmium (Cd), Chromium (Cr), Manganese (Mn), and Arsenic (As) concentrations were below the permissible limits set by the World Health Organization (WHO) and Food and Agriculture Organization (FAO), indicating that these elements are within acceptable safety levels for human consumption.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However, Lead (Pb) concentration in one of the samples (Sample N = 0.0724 mg/L) exceeded the WHO recommended limit of 0.05 mg/L, suggesting possible contamination during processing, packaging, or storage. This finding is of significant public health concern because lead is a toxic element with cumulative effects on the nervous system, kidneys, and other organs.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Overall, the study concludes that while most of the samples analyzed are safe for consumption, the detection of elevated lead levels in one sample highlights the need for continuous monitoring and strict quality control in food production. The variations observed in metal concentrations may be attributed to differences in raw material sources, environmental exposure, or contamination from equipment and packaging materials used during processing.</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Therefore, this research concludes that while tomato pastes sold in Sokoto metropolis are generally safe for consumption, there is an urgent need for regular surveillance and enforcement of food safety standards to minimize contamination risks and protect public health. The study further highlights the importance of strict regulatory oversight, quality assurance, and public awareness in maintaining food quality and safety in Nigeria’s growing processed food industry.</w:t>
      </w:r>
    </w:p>
    <w:bookmarkStart w:id="45" w:name="_Toc213344951"/>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5.2 Recommendations</w:t>
      </w:r>
      <w:bookmarkEnd w:id="45"/>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Based on the findings of this study, the following recommendations are made to ensure the safety and quality of tomato paste and related food products consumed in Nigeria:</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1. Regular Monitoring and Surveillance:</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Regulatory agencies such as NAFDAC, SON, and the Federal Ministry of Health should establish continuous monitoring programs to assess the levels of heavy metals in processed foods, including tomato pastes, across various regions in Nigeria.</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2. Quality Control During Production: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Manufacturers should implement stringent Good Manufacturing Practices (GMP) and Hazard Analysis Critical Control Points (HACCP) to minimize contamination from raw materials, processing equipment, and packaging materials. Routine testing of water and raw tomatoes used in production should be mandatory.</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3. Improved Packaging Materials: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use of non-corrosive, food-grade packaging materials (such as lacquer-coated cans or aseptic pouches) should be encouraged to prevent leaching of metals like Pb and Cr into the product during storage.</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4. Environmental Regulation of Agricultural Inputs: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Farmers should be educated on the dangers of using contaminated irrigation water, industrial waste, and improper fertilizers or pesticides, as these may serve as primary sources of metal contamination in raw tomatoes.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5. Public Awareness and Consumer Education: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Public enlightenment campaigns should be conducted to inform consumers about the health risks associated with heavy metal exposure and the importance of purchasing tomato pastes from trusted, certified brands.</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6. Legislative Enforcement:</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Nigerian government should strengthen food safety laws and ensure strict enforcement of maximum allowable limits for toxic metals in both imported and locally manufactured food products.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7. International Collaboration:</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Nigerian food safety authorities should collaborate with international organizations like FAO, WHO, and Codex Alimentarius Commission to align local food quality standards with global benchmarks.</w:t>
      </w:r>
    </w:p>
    <w:bookmarkStart w:id="46" w:name="_Toc213344952"/>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5.3 Contribution of the Study</w:t>
      </w:r>
      <w:bookmarkEnd w:id="46"/>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This research contributes to the growing body of knowledge on food safety and environmental health in Nigeria by:</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Providing baseline data on the concentrations of Pb, Cd, As, Mn, and Cr in tomato paste products consumed in Sokoto metropolis.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Highlighting the potential health implications associated with elevated heavy metal levels.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Supporting policy development and food safety regulation to ensure the protection of public health.</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Encouraging local manufacturers to adopt safer processing and packaging technologies.</w:t>
      </w:r>
    </w:p>
    <w:bookmarkStart w:id="47" w:name="_Toc213344953"/>
    <w:p>
      <w:pPr>
        <w:pStyle w:val="style1"/>
        <w:spacing w:after="240" w:lineRule="auto" w:line="360"/>
        <w:rPr>
          <w:rFonts w:ascii="Times New Roman" w:hAnsi="Times New Roman"/>
          <w:b/>
          <w:bCs/>
          <w:color w:val="000000"/>
          <w:sz w:val="24"/>
          <w:szCs w:val="24"/>
        </w:rPr>
      </w:pPr>
      <w:r>
        <w:rPr>
          <w:rFonts w:ascii="Times New Roman" w:hAnsi="Times New Roman"/>
          <w:b/>
          <w:bCs/>
          <w:color w:val="000000"/>
          <w:sz w:val="24"/>
          <w:szCs w:val="24"/>
        </w:rPr>
        <w:t>5.3.1 Limitations of the Study</w:t>
      </w:r>
      <w:bookmarkEnd w:id="47"/>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While this study provides valuable insights, certain limitations were identified:</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analysis was limited to only three brands and five metals; other potentially toxic metals such as mercury (Hg), nickel (Ni), and zinc (Zn) were not included.</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study focused on tomato paste samples from Sokoto metropolis only, which may not represent all brands nationwide.</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AAS method used measured total metal concentration, not metal speciation, which could have provided further insight into toxicity levels.</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Future studies addressing these limitations will enhance the understanding of heavy metal exposure through processed foods in Nigeria.</w:t>
      </w:r>
    </w:p>
    <w:p>
      <w:pPr>
        <w:pStyle w:val="style0"/>
        <w:spacing w:before="240" w:after="240" w:lineRule="auto" w:line="360"/>
        <w:jc w:val="both"/>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5.4 Summary </w:t>
      </w:r>
    </w:p>
    <w:p>
      <w:pPr>
        <w:pStyle w:val="style0"/>
        <w:spacing w:before="240" w:after="24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In conclusion, the evaluation of heavy metals in tomato paste samples obtained from Sokoto Metropolis revealed that lead (Pb) pose significant contamination risks, while cadmium (Cd), manganese (Mn), arsenic (As) and chromium (Cr) remain within safe limits. The findings highlight the urgent need for proactive monitoring, improved production practices, and public awareness to ensure the safety of tomato-based products consumed by Nigerians. By implementing the recommended measures, regulatory agencies and manufacturers can substantially reduce the incidence of heavy metal contamination in processed foods, thereby safeguarding public health and promoting sustainable food safety and quality standards in Nigeria.</w:t>
      </w: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jc w:val="both"/>
        <w:rPr>
          <w:rFonts w:ascii="Times New Roman" w:cs="Times New Roman" w:hAnsi="Times New Roman"/>
          <w:color w:val="000000"/>
          <w:sz w:val="24"/>
          <w:szCs w:val="24"/>
        </w:rPr>
      </w:pPr>
    </w:p>
    <w:p>
      <w:pPr>
        <w:pStyle w:val="style0"/>
        <w:spacing w:before="240" w:after="240" w:lineRule="auto" w:line="360"/>
        <w:rPr>
          <w:rFonts w:ascii="Times New Roman" w:cs="Times New Roman" w:hAnsi="Times New Roman"/>
          <w:color w:val="000000"/>
          <w:sz w:val="24"/>
          <w:szCs w:val="24"/>
        </w:rPr>
      </w:pPr>
    </w:p>
    <w:bookmarkStart w:id="48" w:name="_Toc213344954"/>
    <w:p>
      <w:pPr>
        <w:pStyle w:val="style0"/>
        <w:spacing w:after="0" w:lineRule="auto" w:line="240"/>
        <w:rPr>
          <w:rFonts w:ascii="Times New Roman" w:cs="Times New Roman" w:eastAsia="宋体" w:hAnsi="Times New Roman"/>
          <w:color w:val="000000"/>
          <w:sz w:val="24"/>
          <w:szCs w:val="24"/>
        </w:rPr>
      </w:pPr>
      <w:r>
        <w:rPr>
          <w:rFonts w:ascii="Times New Roman" w:hAnsi="Times New Roman"/>
          <w:color w:val="000000"/>
          <w:sz w:val="24"/>
          <w:szCs w:val="24"/>
        </w:rPr>
        <w:br w:type="page"/>
      </w:r>
    </w:p>
    <w:p>
      <w:pPr>
        <w:pStyle w:val="style1"/>
        <w:spacing w:after="240" w:lineRule="auto" w:line="360"/>
        <w:rPr>
          <w:rFonts w:ascii="Times New Roman" w:hAnsi="Times New Roman"/>
          <w:color w:val="000000"/>
          <w:sz w:val="24"/>
          <w:szCs w:val="24"/>
        </w:rPr>
      </w:pPr>
      <w:r>
        <w:rPr>
          <w:rFonts w:ascii="Times New Roman" w:hAnsi="Times New Roman"/>
          <w:color w:val="000000"/>
          <w:sz w:val="24"/>
          <w:szCs w:val="24"/>
        </w:rPr>
        <w:t>References</w:t>
      </w:r>
      <w:bookmarkEnd w:id="48"/>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Akan, J. C., Abdulrahman, F. I., </w:t>
      </w:r>
      <w:r>
        <w:rPr>
          <w:rFonts w:ascii="Times New Roman" w:cs="Times New Roman" w:eastAsia="Times New Roman" w:hAnsi="Times New Roman"/>
          <w:color w:val="000000"/>
          <w:sz w:val="24"/>
          <w:szCs w:val="24"/>
        </w:rPr>
        <w:t>Sodipo</w:t>
      </w:r>
      <w:r>
        <w:rPr>
          <w:rFonts w:ascii="Times New Roman" w:cs="Times New Roman" w:eastAsia="Times New Roman" w:hAnsi="Times New Roman"/>
          <w:color w:val="000000"/>
          <w:sz w:val="24"/>
          <w:szCs w:val="24"/>
        </w:rPr>
        <w:t xml:space="preserve">, O. A., &amp; </w:t>
      </w:r>
      <w:r>
        <w:rPr>
          <w:rFonts w:ascii="Times New Roman" w:cs="Times New Roman" w:eastAsia="Times New Roman" w:hAnsi="Times New Roman"/>
          <w:color w:val="000000"/>
          <w:sz w:val="24"/>
          <w:szCs w:val="24"/>
        </w:rPr>
        <w:t>Akandu</w:t>
      </w:r>
      <w:r>
        <w:rPr>
          <w:rFonts w:ascii="Times New Roman" w:cs="Times New Roman" w:eastAsia="Times New Roman" w:hAnsi="Times New Roman"/>
          <w:color w:val="000000"/>
          <w:sz w:val="24"/>
          <w:szCs w:val="24"/>
        </w:rPr>
        <w:t>, P. I. (2013). Determination of heavy metals in tomato (</w:t>
      </w:r>
      <w:r>
        <w:rPr>
          <w:rFonts w:ascii="Times New Roman" w:cs="Times New Roman" w:eastAsia="Times New Roman" w:hAnsi="Times New Roman"/>
          <w:i/>
          <w:iCs/>
          <w:color w:val="000000"/>
          <w:sz w:val="24"/>
          <w:szCs w:val="24"/>
        </w:rPr>
        <w:t>Lycopersicon</w:t>
      </w:r>
      <w:r>
        <w:rPr>
          <w:rFonts w:ascii="Times New Roman" w:cs="Times New Roman" w:eastAsia="Times New Roman" w:hAnsi="Times New Roman"/>
          <w:i/>
          <w:iCs/>
          <w:color w:val="000000"/>
          <w:sz w:val="24"/>
          <w:szCs w:val="24"/>
        </w:rPr>
        <w:t xml:space="preserve"> </w:t>
      </w:r>
      <w:r>
        <w:rPr>
          <w:rFonts w:ascii="Times New Roman" w:cs="Times New Roman" w:eastAsia="Times New Roman" w:hAnsi="Times New Roman"/>
          <w:i/>
          <w:iCs/>
          <w:color w:val="000000"/>
          <w:sz w:val="24"/>
          <w:szCs w:val="24"/>
        </w:rPr>
        <w:t>esculentum</w:t>
      </w:r>
      <w:r>
        <w:rPr>
          <w:rFonts w:ascii="Times New Roman" w:cs="Times New Roman" w:eastAsia="Times New Roman" w:hAnsi="Times New Roman"/>
          <w:color w:val="000000"/>
          <w:sz w:val="24"/>
          <w:szCs w:val="24"/>
        </w:rPr>
        <w:t xml:space="preserve">) and soil in Maiduguri, </w:t>
      </w:r>
      <w:r>
        <w:rPr>
          <w:rFonts w:ascii="Times New Roman" w:cs="Times New Roman" w:eastAsia="Times New Roman" w:hAnsi="Times New Roman"/>
          <w:color w:val="000000"/>
          <w:sz w:val="24"/>
          <w:szCs w:val="24"/>
        </w:rPr>
        <w:t>Borno</w:t>
      </w:r>
      <w:r>
        <w:rPr>
          <w:rFonts w:ascii="Times New Roman" w:cs="Times New Roman" w:eastAsia="Times New Roman" w:hAnsi="Times New Roman"/>
          <w:color w:val="000000"/>
          <w:sz w:val="24"/>
          <w:szCs w:val="24"/>
        </w:rPr>
        <w:t xml:space="preserve"> State, Nigeria. </w:t>
      </w:r>
      <w:r>
        <w:rPr>
          <w:rFonts w:ascii="Times New Roman" w:cs="Times New Roman" w:eastAsia="Times New Roman" w:hAnsi="Times New Roman"/>
          <w:i/>
          <w:iCs/>
          <w:color w:val="000000"/>
          <w:sz w:val="24"/>
          <w:szCs w:val="24"/>
        </w:rPr>
        <w:t>International Journal of Environmental Monitoring and Analysis, 1</w:t>
      </w:r>
      <w:r>
        <w:rPr>
          <w:rFonts w:ascii="Times New Roman" w:cs="Times New Roman" w:eastAsia="Times New Roman" w:hAnsi="Times New Roman"/>
          <w:color w:val="000000"/>
          <w:sz w:val="24"/>
          <w:szCs w:val="24"/>
        </w:rPr>
        <w:t xml:space="preserve">(2), 40–46. </w:t>
      </w:r>
      <w:r>
        <w:rPr/>
        <w:fldChar w:fldCharType="begin"/>
      </w:r>
      <w:r>
        <w:instrText xml:space="preserve"> HYPERLINK "https://doi.org/10.11648/j.ijema.20130102.12" </w:instrText>
      </w:r>
      <w:r>
        <w:rPr/>
        <w:fldChar w:fldCharType="separate"/>
      </w:r>
      <w:r>
        <w:rPr>
          <w:rFonts w:ascii="Times New Roman" w:cs="Times New Roman" w:eastAsia="Times New Roman" w:hAnsi="Times New Roman"/>
          <w:color w:val="000000"/>
          <w:sz w:val="24"/>
          <w:szCs w:val="24"/>
          <w:u w:val="single"/>
        </w:rPr>
        <w:t>https://doi.org/10.11648/j.ijema.20130102.12</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Agbemafle</w:t>
      </w:r>
      <w:r>
        <w:rPr>
          <w:rFonts w:ascii="Times New Roman" w:cs="Times New Roman" w:eastAsia="Times New Roman" w:hAnsi="Times New Roman"/>
          <w:color w:val="000000"/>
          <w:sz w:val="24"/>
          <w:szCs w:val="24"/>
        </w:rPr>
        <w:t xml:space="preserve">, I., Owusu-Ansah, E., &amp; Nuer, A. T. K. (2015). Quality evaluation of tomato pastes sold in the Ghanaian market. </w:t>
      </w:r>
      <w:r>
        <w:rPr>
          <w:rFonts w:ascii="Times New Roman" w:cs="Times New Roman" w:eastAsia="Times New Roman" w:hAnsi="Times New Roman"/>
          <w:i/>
          <w:iCs/>
          <w:color w:val="000000"/>
          <w:sz w:val="24"/>
          <w:szCs w:val="24"/>
        </w:rPr>
        <w:t>International Journal of Food Science and Nutrition Engineering, 5</w:t>
      </w:r>
      <w:r>
        <w:rPr>
          <w:rFonts w:ascii="Times New Roman" w:cs="Times New Roman" w:eastAsia="Times New Roman" w:hAnsi="Times New Roman"/>
          <w:color w:val="000000"/>
          <w:sz w:val="24"/>
          <w:szCs w:val="24"/>
        </w:rPr>
        <w:t xml:space="preserve">(2), 47–53. </w:t>
      </w:r>
      <w:r>
        <w:rPr/>
        <w:fldChar w:fldCharType="begin"/>
      </w:r>
      <w:r>
        <w:instrText xml:space="preserve"> HYPERLINK "https://doi.org/10.5923/j.food.20150502.01" </w:instrText>
      </w:r>
      <w:r>
        <w:rPr/>
        <w:fldChar w:fldCharType="separate"/>
      </w:r>
      <w:r>
        <w:rPr>
          <w:rFonts w:ascii="Times New Roman" w:cs="Times New Roman" w:eastAsia="Times New Roman" w:hAnsi="Times New Roman"/>
          <w:color w:val="000000"/>
          <w:sz w:val="24"/>
          <w:szCs w:val="24"/>
          <w:u w:val="single"/>
        </w:rPr>
        <w:t>https://doi.org/10.5923/j.food.20150502.01</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Akinyele</w:t>
      </w:r>
      <w:r>
        <w:rPr>
          <w:rFonts w:ascii="Times New Roman" w:cs="Times New Roman" w:eastAsia="Times New Roman" w:hAnsi="Times New Roman"/>
          <w:color w:val="000000"/>
          <w:sz w:val="24"/>
          <w:szCs w:val="24"/>
        </w:rPr>
        <w:t xml:space="preserve">, I. O., &amp; </w:t>
      </w:r>
      <w:r>
        <w:rPr>
          <w:rFonts w:ascii="Times New Roman" w:cs="Times New Roman" w:eastAsia="Times New Roman" w:hAnsi="Times New Roman"/>
          <w:color w:val="000000"/>
          <w:sz w:val="24"/>
          <w:szCs w:val="24"/>
        </w:rPr>
        <w:t>Shokunbi</w:t>
      </w:r>
      <w:r>
        <w:rPr>
          <w:rFonts w:ascii="Times New Roman" w:cs="Times New Roman" w:eastAsia="Times New Roman" w:hAnsi="Times New Roman"/>
          <w:color w:val="000000"/>
          <w:sz w:val="24"/>
          <w:szCs w:val="24"/>
        </w:rPr>
        <w:t xml:space="preserve">, O. S. (2015). Comparative analysis of dry and fresh tomato products consumed in Nigeria. </w:t>
      </w:r>
      <w:r>
        <w:rPr>
          <w:rFonts w:ascii="Times New Roman" w:cs="Times New Roman" w:eastAsia="Times New Roman" w:hAnsi="Times New Roman"/>
          <w:i/>
          <w:iCs/>
          <w:color w:val="000000"/>
          <w:sz w:val="24"/>
          <w:szCs w:val="24"/>
        </w:rPr>
        <w:t>African Journal of Food Science, 9</w:t>
      </w:r>
      <w:r>
        <w:rPr>
          <w:rFonts w:ascii="Times New Roman" w:cs="Times New Roman" w:eastAsia="Times New Roman" w:hAnsi="Times New Roman"/>
          <w:color w:val="000000"/>
          <w:sz w:val="24"/>
          <w:szCs w:val="24"/>
        </w:rPr>
        <w:t xml:space="preserve">(5), 278–284. </w:t>
      </w:r>
      <w:r>
        <w:rPr/>
        <w:fldChar w:fldCharType="begin"/>
      </w:r>
      <w:r>
        <w:instrText xml:space="preserve"> HYPERLINK "https://doi.org/10.5897/AJFS2015.1293" </w:instrText>
      </w:r>
      <w:r>
        <w:rPr/>
        <w:fldChar w:fldCharType="separate"/>
      </w:r>
      <w:r>
        <w:rPr>
          <w:rFonts w:ascii="Times New Roman" w:cs="Times New Roman" w:eastAsia="Times New Roman" w:hAnsi="Times New Roman"/>
          <w:color w:val="000000"/>
          <w:sz w:val="24"/>
          <w:szCs w:val="24"/>
          <w:u w:val="single"/>
        </w:rPr>
        <w:t>https://doi.org/10.5897/AJFS2015.1293</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AOAC. (2005). </w:t>
      </w:r>
      <w:r>
        <w:rPr>
          <w:rFonts w:ascii="Times New Roman" w:cs="Times New Roman" w:eastAsia="Times New Roman" w:hAnsi="Times New Roman"/>
          <w:i/>
          <w:iCs/>
          <w:color w:val="000000"/>
          <w:sz w:val="24"/>
          <w:szCs w:val="24"/>
        </w:rPr>
        <w:t>Official methods of analysis</w:t>
      </w:r>
      <w:r>
        <w:rPr>
          <w:rFonts w:ascii="Times New Roman" w:cs="Times New Roman" w:eastAsia="Times New Roman" w:hAnsi="Times New Roman"/>
          <w:color w:val="000000"/>
          <w:sz w:val="24"/>
          <w:szCs w:val="24"/>
        </w:rPr>
        <w:t xml:space="preserve"> (18th ed.). Association of Official Analytical Chemists.</w:t>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Chen, C., Yu, H., Zhao, J., Li, B., Qu, L., Liu, S., &amp; Li, Y. (2019). The roles of metals in oxidative stress and carcinogenesis. </w:t>
      </w:r>
      <w:r>
        <w:rPr>
          <w:rFonts w:ascii="Times New Roman" w:cs="Times New Roman" w:eastAsia="Times New Roman" w:hAnsi="Times New Roman"/>
          <w:i/>
          <w:iCs/>
          <w:color w:val="000000"/>
          <w:sz w:val="24"/>
          <w:szCs w:val="24"/>
        </w:rPr>
        <w:t>BioMed Research International, 2019,</w:t>
      </w:r>
      <w:r>
        <w:rPr>
          <w:rFonts w:ascii="Times New Roman" w:cs="Times New Roman" w:eastAsia="Times New Roman" w:hAnsi="Times New Roman"/>
          <w:color w:val="000000"/>
          <w:sz w:val="24"/>
          <w:szCs w:val="24"/>
        </w:rPr>
        <w:t xml:space="preserve"> 1–13. </w:t>
      </w:r>
      <w:r>
        <w:rPr/>
        <w:fldChar w:fldCharType="begin"/>
      </w:r>
      <w:r>
        <w:instrText xml:space="preserve"> HYPERLINK "https://doi.org/10.1155/2019/3790356" </w:instrText>
      </w:r>
      <w:r>
        <w:rPr/>
        <w:fldChar w:fldCharType="separate"/>
      </w:r>
      <w:r>
        <w:rPr>
          <w:rFonts w:ascii="Times New Roman" w:cs="Times New Roman" w:eastAsia="Times New Roman" w:hAnsi="Times New Roman"/>
          <w:color w:val="000000"/>
          <w:sz w:val="24"/>
          <w:szCs w:val="24"/>
          <w:u w:val="single"/>
        </w:rPr>
        <w:t>https://doi.org/10.1155/2019/3790356</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Codex Alimentarius Commission. (2019). </w:t>
      </w:r>
      <w:r>
        <w:rPr>
          <w:rFonts w:ascii="Times New Roman" w:cs="Times New Roman" w:eastAsia="Times New Roman" w:hAnsi="Times New Roman"/>
          <w:i/>
          <w:iCs/>
          <w:color w:val="000000"/>
          <w:sz w:val="24"/>
          <w:szCs w:val="24"/>
        </w:rPr>
        <w:t>General standard for contaminants and toxins in food and feed (CODEX STAN 193-1995).</w:t>
      </w:r>
      <w:r>
        <w:rPr>
          <w:rFonts w:ascii="Times New Roman" w:cs="Times New Roman" w:eastAsia="Times New Roman" w:hAnsi="Times New Roman"/>
          <w:color w:val="000000"/>
          <w:sz w:val="24"/>
          <w:szCs w:val="24"/>
        </w:rPr>
        <w:t xml:space="preserve"> Food and Agriculture Organization (FAO)/World Health Organization (WHO).</w:t>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FAO. (2011). </w:t>
      </w:r>
      <w:r>
        <w:rPr>
          <w:rFonts w:ascii="Times New Roman" w:cs="Times New Roman" w:eastAsia="Times New Roman" w:hAnsi="Times New Roman"/>
          <w:i/>
          <w:iCs/>
          <w:color w:val="000000"/>
          <w:sz w:val="24"/>
          <w:szCs w:val="24"/>
        </w:rPr>
        <w:t xml:space="preserve">Joint FAO/WHO food standards </w:t>
      </w:r>
      <w:r>
        <w:rPr>
          <w:rFonts w:ascii="Times New Roman" w:cs="Times New Roman" w:eastAsia="Times New Roman" w:hAnsi="Times New Roman"/>
          <w:i/>
          <w:iCs/>
          <w:color w:val="000000"/>
          <w:sz w:val="24"/>
          <w:szCs w:val="24"/>
        </w:rPr>
        <w:t>programme</w:t>
      </w:r>
      <w:r>
        <w:rPr>
          <w:rFonts w:ascii="Times New Roman" w:cs="Times New Roman" w:eastAsia="Times New Roman" w:hAnsi="Times New Roman"/>
          <w:i/>
          <w:iCs/>
          <w:color w:val="000000"/>
          <w:sz w:val="24"/>
          <w:szCs w:val="24"/>
        </w:rPr>
        <w:t>, Codex Committee on Contaminants in Foods.</w:t>
      </w:r>
      <w:r>
        <w:rPr>
          <w:rFonts w:ascii="Times New Roman" w:cs="Times New Roman" w:eastAsia="Times New Roman" w:hAnsi="Times New Roman"/>
          <w:color w:val="000000"/>
          <w:sz w:val="24"/>
          <w:szCs w:val="24"/>
        </w:rPr>
        <w:t xml:space="preserve"> Food and Agriculture Organization of the United Nations.</w:t>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FAO/WHO. (2013). </w:t>
      </w:r>
      <w:r>
        <w:rPr>
          <w:rFonts w:ascii="Times New Roman" w:cs="Times New Roman" w:eastAsia="Times New Roman" w:hAnsi="Times New Roman"/>
          <w:i/>
          <w:iCs/>
          <w:color w:val="000000"/>
          <w:sz w:val="24"/>
          <w:szCs w:val="24"/>
        </w:rPr>
        <w:t>Guidelines for the assessment of chemical contaminants in food.</w:t>
      </w:r>
      <w:r>
        <w:rPr>
          <w:rFonts w:ascii="Times New Roman" w:cs="Times New Roman" w:eastAsia="Times New Roman" w:hAnsi="Times New Roman"/>
          <w:color w:val="000000"/>
          <w:sz w:val="24"/>
          <w:szCs w:val="24"/>
        </w:rPr>
        <w:t xml:space="preserve"> Joint FAO/WHO Expert Committee on Food Additives (JECFA), Geneva.</w:t>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Jaishankar</w:t>
      </w:r>
      <w:r>
        <w:rPr>
          <w:rFonts w:ascii="Times New Roman" w:cs="Times New Roman" w:eastAsia="Times New Roman" w:hAnsi="Times New Roman"/>
          <w:color w:val="000000"/>
          <w:sz w:val="24"/>
          <w:szCs w:val="24"/>
        </w:rPr>
        <w:t xml:space="preserve">, M., </w:t>
      </w:r>
      <w:r>
        <w:rPr>
          <w:rFonts w:ascii="Times New Roman" w:cs="Times New Roman" w:eastAsia="Times New Roman" w:hAnsi="Times New Roman"/>
          <w:color w:val="000000"/>
          <w:sz w:val="24"/>
          <w:szCs w:val="24"/>
        </w:rPr>
        <w:t>Tseten</w:t>
      </w:r>
      <w:r>
        <w:rPr>
          <w:rFonts w:ascii="Times New Roman" w:cs="Times New Roman" w:eastAsia="Times New Roman" w:hAnsi="Times New Roman"/>
          <w:color w:val="000000"/>
          <w:sz w:val="24"/>
          <w:szCs w:val="24"/>
        </w:rPr>
        <w:t xml:space="preserve">, T., </w:t>
      </w:r>
      <w:r>
        <w:rPr>
          <w:rFonts w:ascii="Times New Roman" w:cs="Times New Roman" w:eastAsia="Times New Roman" w:hAnsi="Times New Roman"/>
          <w:color w:val="000000"/>
          <w:sz w:val="24"/>
          <w:szCs w:val="24"/>
        </w:rPr>
        <w:t>Anbalagan</w:t>
      </w:r>
      <w:r>
        <w:rPr>
          <w:rFonts w:ascii="Times New Roman" w:cs="Times New Roman" w:eastAsia="Times New Roman" w:hAnsi="Times New Roman"/>
          <w:color w:val="000000"/>
          <w:sz w:val="24"/>
          <w:szCs w:val="24"/>
        </w:rPr>
        <w:t xml:space="preserve">, N., Mathew, B. B., &amp; </w:t>
      </w:r>
      <w:r>
        <w:rPr>
          <w:rFonts w:ascii="Times New Roman" w:cs="Times New Roman" w:eastAsia="Times New Roman" w:hAnsi="Times New Roman"/>
          <w:color w:val="000000"/>
          <w:sz w:val="24"/>
          <w:szCs w:val="24"/>
        </w:rPr>
        <w:t>Beeregowda</w:t>
      </w:r>
      <w:r>
        <w:rPr>
          <w:rFonts w:ascii="Times New Roman" w:cs="Times New Roman" w:eastAsia="Times New Roman" w:hAnsi="Times New Roman"/>
          <w:color w:val="000000"/>
          <w:sz w:val="24"/>
          <w:szCs w:val="24"/>
        </w:rPr>
        <w:t xml:space="preserve">, K. N. (2014). Toxicity, mechanism and health effects of some heavy metals. </w:t>
      </w:r>
      <w:r>
        <w:rPr>
          <w:rFonts w:ascii="Times New Roman" w:cs="Times New Roman" w:eastAsia="Times New Roman" w:hAnsi="Times New Roman"/>
          <w:i/>
          <w:iCs/>
          <w:color w:val="000000"/>
          <w:sz w:val="24"/>
          <w:szCs w:val="24"/>
        </w:rPr>
        <w:t>Interdisciplinary Toxicology, 7</w:t>
      </w:r>
      <w:r>
        <w:rPr>
          <w:rFonts w:ascii="Times New Roman" w:cs="Times New Roman" w:eastAsia="Times New Roman" w:hAnsi="Times New Roman"/>
          <w:color w:val="000000"/>
          <w:sz w:val="24"/>
          <w:szCs w:val="24"/>
        </w:rPr>
        <w:t xml:space="preserve">(2), 60–72. </w:t>
      </w:r>
      <w:r>
        <w:rPr/>
        <w:fldChar w:fldCharType="begin"/>
      </w:r>
      <w:r>
        <w:instrText xml:space="preserve"> HYPERLINK "https://doi.org/10.2478/intox-2014-0009" </w:instrText>
      </w:r>
      <w:r>
        <w:rPr/>
        <w:fldChar w:fldCharType="separate"/>
      </w:r>
      <w:r>
        <w:rPr>
          <w:rFonts w:ascii="Times New Roman" w:cs="Times New Roman" w:eastAsia="Times New Roman" w:hAnsi="Times New Roman"/>
          <w:color w:val="000000"/>
          <w:sz w:val="24"/>
          <w:szCs w:val="24"/>
          <w:u w:val="single"/>
        </w:rPr>
        <w:t>https://doi.org/10.2478/intox-2014-0009</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Khan, S., Cao, Q., Zheng, Y. M., Huang, Y. Z., &amp; Zhu, Y. G. (2015). Health risks of heavy metals in contaminated soils and food crops irrigated with wastewater in Beijing, China. </w:t>
      </w:r>
      <w:r>
        <w:rPr>
          <w:rFonts w:ascii="Times New Roman" w:cs="Times New Roman" w:eastAsia="Times New Roman" w:hAnsi="Times New Roman"/>
          <w:i/>
          <w:iCs/>
          <w:color w:val="000000"/>
          <w:sz w:val="24"/>
          <w:szCs w:val="24"/>
        </w:rPr>
        <w:t>Environmental Pollution, 152</w:t>
      </w:r>
      <w:r>
        <w:rPr>
          <w:rFonts w:ascii="Times New Roman" w:cs="Times New Roman" w:eastAsia="Times New Roman" w:hAnsi="Times New Roman"/>
          <w:color w:val="000000"/>
          <w:sz w:val="24"/>
          <w:szCs w:val="24"/>
        </w:rPr>
        <w:t xml:space="preserve">(3), 686–692. </w:t>
      </w:r>
      <w:r>
        <w:rPr/>
        <w:fldChar w:fldCharType="begin"/>
      </w:r>
      <w:r>
        <w:instrText xml:space="preserve"> HYPERLINK "https://doi.org/10.1016/j.envpol.2007.06.056" </w:instrText>
      </w:r>
      <w:r>
        <w:rPr/>
        <w:fldChar w:fldCharType="separate"/>
      </w:r>
      <w:r>
        <w:rPr>
          <w:rFonts w:ascii="Times New Roman" w:cs="Times New Roman" w:eastAsia="Times New Roman" w:hAnsi="Times New Roman"/>
          <w:color w:val="000000"/>
          <w:sz w:val="24"/>
          <w:szCs w:val="24"/>
          <w:u w:val="single"/>
        </w:rPr>
        <w:t>https://doi.org/10.1016/j.envpol.2007.06.056</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Olowu</w:t>
      </w:r>
      <w:r>
        <w:rPr>
          <w:rFonts w:ascii="Times New Roman" w:cs="Times New Roman" w:eastAsia="Times New Roman" w:hAnsi="Times New Roman"/>
          <w:color w:val="000000"/>
          <w:sz w:val="24"/>
          <w:szCs w:val="24"/>
        </w:rPr>
        <w:t xml:space="preserve">, R. A., </w:t>
      </w:r>
      <w:r>
        <w:rPr>
          <w:rFonts w:ascii="Times New Roman" w:cs="Times New Roman" w:eastAsia="Times New Roman" w:hAnsi="Times New Roman"/>
          <w:color w:val="000000"/>
          <w:sz w:val="24"/>
          <w:szCs w:val="24"/>
        </w:rPr>
        <w:t>Ayejuyo</w:t>
      </w:r>
      <w:r>
        <w:rPr>
          <w:rFonts w:ascii="Times New Roman" w:cs="Times New Roman" w:eastAsia="Times New Roman" w:hAnsi="Times New Roman"/>
          <w:color w:val="000000"/>
          <w:sz w:val="24"/>
          <w:szCs w:val="24"/>
        </w:rPr>
        <w:t xml:space="preserve">, O. O., </w:t>
      </w:r>
      <w:r>
        <w:rPr>
          <w:rFonts w:ascii="Times New Roman" w:cs="Times New Roman" w:eastAsia="Times New Roman" w:hAnsi="Times New Roman"/>
          <w:color w:val="000000"/>
          <w:sz w:val="24"/>
          <w:szCs w:val="24"/>
        </w:rPr>
        <w:t>Adewuyi</w:t>
      </w:r>
      <w:r>
        <w:rPr>
          <w:rFonts w:ascii="Times New Roman" w:cs="Times New Roman" w:eastAsia="Times New Roman" w:hAnsi="Times New Roman"/>
          <w:color w:val="000000"/>
          <w:sz w:val="24"/>
          <w:szCs w:val="24"/>
        </w:rPr>
        <w:t>, G. O., &amp; Babatunde, A. (2010). Determination of heavy metals in tomato (</w:t>
      </w:r>
      <w:r>
        <w:rPr>
          <w:rFonts w:ascii="Times New Roman" w:cs="Times New Roman" w:eastAsia="Times New Roman" w:hAnsi="Times New Roman"/>
          <w:i/>
          <w:iCs/>
          <w:color w:val="000000"/>
          <w:sz w:val="24"/>
          <w:szCs w:val="24"/>
        </w:rPr>
        <w:t>Lycopersicon</w:t>
      </w:r>
      <w:r>
        <w:rPr>
          <w:rFonts w:ascii="Times New Roman" w:cs="Times New Roman" w:eastAsia="Times New Roman" w:hAnsi="Times New Roman"/>
          <w:i/>
          <w:iCs/>
          <w:color w:val="000000"/>
          <w:sz w:val="24"/>
          <w:szCs w:val="24"/>
        </w:rPr>
        <w:t xml:space="preserve"> </w:t>
      </w:r>
      <w:r>
        <w:rPr>
          <w:rFonts w:ascii="Times New Roman" w:cs="Times New Roman" w:eastAsia="Times New Roman" w:hAnsi="Times New Roman"/>
          <w:i/>
          <w:iCs/>
          <w:color w:val="000000"/>
          <w:sz w:val="24"/>
          <w:szCs w:val="24"/>
        </w:rPr>
        <w:t>esculentum</w:t>
      </w:r>
      <w:r>
        <w:rPr>
          <w:rFonts w:ascii="Times New Roman" w:cs="Times New Roman" w:eastAsia="Times New Roman" w:hAnsi="Times New Roman"/>
          <w:color w:val="000000"/>
          <w:sz w:val="24"/>
          <w:szCs w:val="24"/>
        </w:rPr>
        <w:t xml:space="preserve">) fruits, soil and leaves at Ikorodu, Lagos, Nigeria. </w:t>
      </w:r>
      <w:r>
        <w:rPr>
          <w:rFonts w:ascii="Times New Roman" w:cs="Times New Roman" w:eastAsia="Times New Roman" w:hAnsi="Times New Roman"/>
          <w:i/>
          <w:iCs/>
          <w:color w:val="000000"/>
          <w:sz w:val="24"/>
          <w:szCs w:val="24"/>
        </w:rPr>
        <w:t>Research Journal of Environmental Sciences, 4</w:t>
      </w:r>
      <w:r>
        <w:rPr>
          <w:rFonts w:ascii="Times New Roman" w:cs="Times New Roman" w:eastAsia="Times New Roman" w:hAnsi="Times New Roman"/>
          <w:color w:val="000000"/>
          <w:sz w:val="24"/>
          <w:szCs w:val="24"/>
        </w:rPr>
        <w:t xml:space="preserve">(1), 1–9. </w:t>
      </w:r>
      <w:r>
        <w:rPr/>
        <w:fldChar w:fldCharType="begin"/>
      </w:r>
      <w:r>
        <w:instrText xml:space="preserve"> HYPERLINK "https://doi.org/10.3923/rjes.2010.1.9" </w:instrText>
      </w:r>
      <w:r>
        <w:rPr/>
        <w:fldChar w:fldCharType="separate"/>
      </w:r>
      <w:r>
        <w:rPr>
          <w:rFonts w:ascii="Times New Roman" w:cs="Times New Roman" w:eastAsia="Times New Roman" w:hAnsi="Times New Roman"/>
          <w:color w:val="000000"/>
          <w:sz w:val="24"/>
          <w:szCs w:val="24"/>
          <w:u w:val="single"/>
        </w:rPr>
        <w:t>https://doi.org/10.3923/rjes.2010.1.9</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Oyelami</w:t>
      </w:r>
      <w:r>
        <w:rPr>
          <w:rFonts w:ascii="Times New Roman" w:cs="Times New Roman" w:eastAsia="Times New Roman" w:hAnsi="Times New Roman"/>
          <w:color w:val="000000"/>
          <w:sz w:val="24"/>
          <w:szCs w:val="24"/>
        </w:rPr>
        <w:t xml:space="preserve">, C. A., &amp; Fashola, O. O. (2017). Assessment of heavy metal contamination and human health risk from tomato consumption in Lagos, Nigeria. </w:t>
      </w:r>
      <w:r>
        <w:rPr>
          <w:rFonts w:ascii="Times New Roman" w:cs="Times New Roman" w:eastAsia="Times New Roman" w:hAnsi="Times New Roman"/>
          <w:i/>
          <w:iCs/>
          <w:color w:val="000000"/>
          <w:sz w:val="24"/>
          <w:szCs w:val="24"/>
        </w:rPr>
        <w:t>Environmental Monitoring and Assessment, 189</w:t>
      </w:r>
      <w:r>
        <w:rPr>
          <w:rFonts w:ascii="Times New Roman" w:cs="Times New Roman" w:eastAsia="Times New Roman" w:hAnsi="Times New Roman"/>
          <w:color w:val="000000"/>
          <w:sz w:val="24"/>
          <w:szCs w:val="24"/>
        </w:rPr>
        <w:t xml:space="preserve">(10), 517. </w:t>
      </w:r>
      <w:r>
        <w:rPr/>
        <w:fldChar w:fldCharType="begin"/>
      </w:r>
      <w:r>
        <w:instrText xml:space="preserve"> HYPERLINK "https://doi.org/10.1007/s10661-017-6228-8" </w:instrText>
      </w:r>
      <w:r>
        <w:rPr/>
        <w:fldChar w:fldCharType="separate"/>
      </w:r>
      <w:r>
        <w:rPr>
          <w:rFonts w:ascii="Times New Roman" w:cs="Times New Roman" w:eastAsia="Times New Roman" w:hAnsi="Times New Roman"/>
          <w:color w:val="000000"/>
          <w:sz w:val="24"/>
          <w:szCs w:val="24"/>
          <w:u w:val="single"/>
        </w:rPr>
        <w:t>https://doi.org/10.1007/s10661-017-6228-8</w:t>
      </w:r>
      <w:r>
        <w:rPr/>
        <w:fldChar w:fldCharType="end"/>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World Health Organization. (2011). </w:t>
      </w:r>
      <w:r>
        <w:rPr>
          <w:rFonts w:ascii="Times New Roman" w:cs="Times New Roman" w:eastAsia="Times New Roman" w:hAnsi="Times New Roman"/>
          <w:i/>
          <w:iCs/>
          <w:color w:val="000000"/>
          <w:sz w:val="24"/>
          <w:szCs w:val="24"/>
        </w:rPr>
        <w:t>Safety evaluation of certain contaminants in food.</w:t>
      </w:r>
      <w:r>
        <w:rPr>
          <w:rFonts w:ascii="Times New Roman" w:cs="Times New Roman" w:eastAsia="Times New Roman" w:hAnsi="Times New Roman"/>
          <w:color w:val="000000"/>
          <w:sz w:val="24"/>
          <w:szCs w:val="24"/>
        </w:rPr>
        <w:t xml:space="preserve"> WHO Food Additives Series No. 63. Geneva: WHO Press.</w:t>
      </w:r>
    </w:p>
    <w:p>
      <w:pPr>
        <w:pStyle w:val="style0"/>
        <w:spacing w:before="240" w:after="240" w:lineRule="auto" w:line="240"/>
        <w:ind w:left="720" w:hanging="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World Health Organization. (2020). </w:t>
      </w:r>
      <w:r>
        <w:rPr>
          <w:rFonts w:ascii="Times New Roman" w:cs="Times New Roman" w:eastAsia="Times New Roman" w:hAnsi="Times New Roman"/>
          <w:i/>
          <w:iCs/>
          <w:color w:val="000000"/>
          <w:sz w:val="24"/>
          <w:szCs w:val="24"/>
        </w:rPr>
        <w:t>Heavy metals in food: Guidance for risk management.</w:t>
      </w:r>
      <w:r>
        <w:rPr>
          <w:rFonts w:ascii="Times New Roman" w:cs="Times New Roman" w:eastAsia="Times New Roman" w:hAnsi="Times New Roman"/>
          <w:color w:val="000000"/>
          <w:sz w:val="24"/>
          <w:szCs w:val="24"/>
        </w:rPr>
        <w:t xml:space="preserve"> WHO/FAO Expert Committee on Food Additives (JECFA), Geneva.</w:t>
      </w:r>
    </w:p>
    <w:p>
      <w:pPr>
        <w:pStyle w:val="style0"/>
        <w:spacing w:before="240" w:after="240" w:lineRule="auto" w:line="240"/>
        <w:ind w:left="720" w:hanging="720"/>
        <w:jc w:val="both"/>
        <w:rPr>
          <w:rFonts w:ascii="Times New Roman" w:cs="Times New Roman" w:hAnsi="Times New Roman"/>
          <w:color w:val="000000"/>
          <w:sz w:val="24"/>
          <w:szCs w:val="24"/>
        </w:rPr>
      </w:pPr>
    </w:p>
    <w:p>
      <w:pPr>
        <w:pStyle w:val="style0"/>
        <w:spacing w:before="240" w:after="240" w:lineRule="auto" w:line="240"/>
        <w:rPr>
          <w:rFonts w:ascii="Times New Roman" w:cs="Times New Roman" w:hAnsi="Times New Roman"/>
          <w:b/>
          <w:color w:val="000000"/>
          <w:sz w:val="24"/>
          <w:szCs w:val="24"/>
        </w:rPr>
      </w:pPr>
    </w:p>
    <w:sectPr>
      <w:pgSz w:w="12240" w:h="15840" w:orient="portrait"/>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Segoe UI">
    <w:altName w:val="Segoe UI"/>
    <w:panose1 w:val="020b0502040002020203"/>
    <w:charset w:val="00"/>
    <w:family w:val="swiss"/>
    <w:pitch w:val="variable"/>
    <w:sig w:usb0="E4002EFF" w:usb1="C000E47F"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宋体">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i</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A32C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en-US"/>
      </w:rPr>
    </w:rPrDefault>
    <w:pPrDefault>
      <w:pPr/>
    </w:pPrDefault>
  </w:docDefaults>
  <w:style w:type="paragraph" w:default="1" w:styleId="style0">
    <w:name w:val="Normal"/>
    <w:next w:val="style0"/>
    <w:qFormat/>
    <w:pPr>
      <w:spacing w:after="200" w:lineRule="auto" w:line="276"/>
    </w:pPr>
    <w:rPr>
      <w:sz w:val="22"/>
      <w:szCs w:val="22"/>
      <w:lang w:eastAsia="zh-CN"/>
    </w:rPr>
  </w:style>
  <w:style w:type="paragraph" w:styleId="style1">
    <w:name w:val="heading 1"/>
    <w:basedOn w:val="style0"/>
    <w:next w:val="style0"/>
    <w:link w:val="style4100"/>
    <w:qFormat/>
    <w:uiPriority w:val="9"/>
    <w:pPr>
      <w:keepNext/>
      <w:keepLines/>
      <w:spacing w:before="240" w:after="0"/>
      <w:outlineLvl w:val="0"/>
    </w:pPr>
    <w:rPr>
      <w:rFonts w:ascii="Cambria" w:cs="Times New Roman" w:eastAsia="宋体" w:hAnsi="Cambria"/>
      <w:color w:val="365f91"/>
      <w:sz w:val="32"/>
      <w:szCs w:val="32"/>
    </w:rPr>
  </w:style>
  <w:style w:type="paragraph" w:styleId="style2">
    <w:name w:val="heading 2"/>
    <w:basedOn w:val="style0"/>
    <w:next w:val="style0"/>
    <w:link w:val="style4101"/>
    <w:qFormat/>
    <w:uiPriority w:val="9"/>
    <w:pPr>
      <w:keepNext/>
      <w:keepLines/>
      <w:spacing w:before="40" w:after="0"/>
      <w:outlineLvl w:val="1"/>
    </w:pPr>
    <w:rPr>
      <w:rFonts w:ascii="Cambria" w:cs="Times New Roman" w:eastAsia="宋体" w:hAnsi="Cambria"/>
      <w:color w:val="365f91"/>
      <w:sz w:val="26"/>
      <w:szCs w:val="26"/>
    </w:rPr>
  </w:style>
  <w:style w:type="paragraph" w:styleId="style3">
    <w:name w:val="heading 3"/>
    <w:basedOn w:val="style0"/>
    <w:next w:val="style3"/>
    <w:link w:val="style4099"/>
    <w:qFormat/>
    <w:uiPriority w:val="9"/>
    <w:pPr>
      <w:spacing w:before="100" w:beforeAutospacing="true" w:after="100" w:afterAutospacing="true" w:lineRule="auto" w:line="240"/>
      <w:outlineLvl w:val="2"/>
    </w:pPr>
    <w:rPr>
      <w:rFonts w:ascii="Times New Roman" w:eastAsia="Times New Roman" w:hAnsi="Times New Roman"/>
      <w:b/>
      <w:bCs/>
      <w:sz w:val="27"/>
      <w:szCs w:val="27"/>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071fdcd5-1063-4e9b-9606-6940255fda2b"/>
    <w:next w:val="style4097"/>
    <w:link w:val="style31"/>
    <w:uiPriority w:val="99"/>
    <w:rPr>
      <w:sz w:val="22"/>
      <w:szCs w:val="22"/>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1ad84778-72c4-4fa7-81a3-4d7e2fba4932"/>
    <w:next w:val="style4098"/>
    <w:link w:val="style32"/>
    <w:uiPriority w:val="99"/>
    <w:rPr>
      <w:sz w:val="22"/>
      <w:szCs w:val="22"/>
    </w:rPr>
  </w:style>
  <w:style w:type="character" w:customStyle="1" w:styleId="style4099">
    <w:name w:val="Heading 3 Char_7a965320-c559-4715-83d7-c2bacedf2dcb"/>
    <w:basedOn w:val="style65"/>
    <w:next w:val="style4099"/>
    <w:link w:val="style3"/>
    <w:uiPriority w:val="9"/>
    <w:rPr>
      <w:rFonts w:ascii="Times New Roman" w:eastAsia="Times New Roman" w:hAnsi="Times New Roman"/>
      <w:b/>
      <w:bCs/>
      <w:sz w:val="27"/>
      <w:szCs w:val="27"/>
    </w:rPr>
  </w:style>
  <w:style w:type="paragraph" w:styleId="style94">
    <w:name w:val="Normal (Web)"/>
    <w:basedOn w:val="style0"/>
    <w:next w:val="style94"/>
    <w:uiPriority w:val="99"/>
    <w:pPr>
      <w:spacing w:before="100" w:beforeAutospacing="true" w:after="100" w:afterAutospacing="true" w:lineRule="auto" w:line="240"/>
    </w:pPr>
    <w:rPr>
      <w:rFonts w:ascii="Times New Roman" w:eastAsia="Times New Roman" w:hAnsi="Times New Roman"/>
      <w:sz w:val="24"/>
      <w:szCs w:val="24"/>
      <w:lang w:eastAsia="en-US"/>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character" w:customStyle="1" w:styleId="style4100">
    <w:name w:val="Heading 1 Char_b7910829-bacd-4108-94ea-21bfcd2f89ad"/>
    <w:basedOn w:val="style65"/>
    <w:next w:val="style4100"/>
    <w:link w:val="style1"/>
    <w:uiPriority w:val="9"/>
    <w:rPr>
      <w:rFonts w:ascii="Cambria" w:cs="Times New Roman" w:eastAsia="宋体" w:hAnsi="Cambria"/>
      <w:color w:val="365f91"/>
      <w:sz w:val="32"/>
      <w:szCs w:val="32"/>
      <w:lang w:eastAsia="zh-CN"/>
    </w:rPr>
  </w:style>
  <w:style w:type="character" w:customStyle="1" w:styleId="style4101">
    <w:name w:val="Heading 2 Char_8d3044db-b9e6-4acf-8457-32f53bbe6e5b"/>
    <w:basedOn w:val="style65"/>
    <w:next w:val="style4101"/>
    <w:link w:val="style2"/>
    <w:uiPriority w:val="9"/>
    <w:rPr>
      <w:rFonts w:ascii="Cambria" w:cs="Times New Roman" w:eastAsia="宋体" w:hAnsi="Cambria"/>
      <w:color w:val="365f91"/>
      <w:sz w:val="26"/>
      <w:szCs w:val="26"/>
      <w:lang w:eastAsia="zh-CN"/>
    </w:rPr>
  </w:style>
  <w:style w:type="paragraph" w:styleId="style266">
    <w:name w:val="TOC Heading"/>
    <w:basedOn w:val="style1"/>
    <w:next w:val="style0"/>
    <w:qFormat/>
    <w:uiPriority w:val="39"/>
    <w:pPr>
      <w:spacing w:lineRule="auto" w:line="259"/>
      <w:outlineLvl w:val="9"/>
    </w:pPr>
    <w:rPr>
      <w:lang w:eastAsia="en-US"/>
    </w:rPr>
  </w:style>
  <w:style w:type="paragraph" w:styleId="style19">
    <w:name w:val="toc 1"/>
    <w:basedOn w:val="style0"/>
    <w:next w:val="style0"/>
    <w:uiPriority w:val="39"/>
    <w:pPr>
      <w:spacing w:after="100"/>
    </w:pPr>
    <w:rPr/>
  </w:style>
  <w:style w:type="paragraph" w:styleId="style21">
    <w:name w:val="toc 3"/>
    <w:basedOn w:val="style0"/>
    <w:next w:val="style0"/>
    <w:uiPriority w:val="39"/>
    <w:pPr>
      <w:spacing w:after="100"/>
      <w:ind w:left="440"/>
    </w:pPr>
    <w:rPr/>
  </w:style>
  <w:style w:type="character" w:styleId="style85">
    <w:name w:val="Hyperlink"/>
    <w:basedOn w:val="style65"/>
    <w:next w:val="style85"/>
    <w:uiPriority w:val="99"/>
    <w:rPr>
      <w:color w:val="0000ff"/>
      <w:u w:val="single"/>
    </w:rPr>
  </w:style>
  <w:style w:type="paragraph" w:styleId="style153">
    <w:name w:val="Balloon Text"/>
    <w:basedOn w:val="style0"/>
    <w:next w:val="style153"/>
    <w:link w:val="style4102"/>
    <w:uiPriority w:val="99"/>
    <w:pPr>
      <w:spacing w:after="0" w:lineRule="auto" w:line="240"/>
    </w:pPr>
    <w:rPr>
      <w:rFonts w:ascii="Segoe UI" w:cs="Segoe UI" w:hAnsi="Segoe UI"/>
      <w:sz w:val="18"/>
      <w:szCs w:val="18"/>
    </w:rPr>
  </w:style>
  <w:style w:type="character" w:customStyle="1" w:styleId="style4102">
    <w:name w:val="Balloon Text Char"/>
    <w:basedOn w:val="style65"/>
    <w:next w:val="style4102"/>
    <w:link w:val="style153"/>
    <w:uiPriority w:val="99"/>
    <w:rPr>
      <w:rFonts w:ascii="Segoe UI" w:cs="Segoe UI" w:hAnsi="Segoe UI"/>
      <w:sz w:val="18"/>
      <w:szCs w:val="18"/>
      <w:lang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DFFE2-4451-4FDD-8639-A044FF8F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Words>6367</Words>
  <Pages>35</Pages>
  <Characters>37237</Characters>
  <Application>WPS Office</Application>
  <DocSecurity>0</DocSecurity>
  <Paragraphs>609</Paragraphs>
  <ScaleCrop>false</ScaleCrop>
  <LinksUpToDate>false</LinksUpToDate>
  <CharactersWithSpaces>43875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2025-11-19T21:20:00Z</dcterms:created>
  <dc:creator>SM-A065F</dc:creator>
  <lastModifiedBy>SM-A065F</lastModifiedBy>
  <lastPrinted>2025-11-19T21:17:00Z</lastPrinted>
  <dcterms:modified xsi:type="dcterms:W3CDTF">2025-11-19T12:25:02Z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00f233e6e49a4d34970849d28cb05303</vt:lpwstr>
  </property>
</Properties>
</file>