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FA6D" w14:textId="77777777" w:rsidR="001F4C4E" w:rsidRPr="00BE0921" w:rsidRDefault="001F4C4E" w:rsidP="001F4C4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BE0921">
        <w:rPr>
          <w:rFonts w:asciiTheme="majorBidi" w:hAnsiTheme="majorBidi" w:cstheme="majorBidi"/>
          <w:sz w:val="24"/>
          <w:szCs w:val="24"/>
        </w:rPr>
        <w:t>severely ill and immune-compromised patients</w:t>
      </w:r>
      <w:r>
        <w:rPr>
          <w:rFonts w:asciiTheme="majorBidi" w:hAnsiTheme="majorBidi" w:cstheme="majorBidi"/>
          <w:sz w:val="24"/>
          <w:szCs w:val="24"/>
        </w:rPr>
        <w:t>.</w:t>
      </w:r>
      <w:r w:rsidRPr="00BE0921">
        <w:rPr>
          <w:rFonts w:asciiTheme="majorBidi" w:hAnsiTheme="majorBidi" w:cstheme="majorBidi"/>
          <w:sz w:val="24"/>
          <w:szCs w:val="24"/>
        </w:rPr>
        <w:t xml:space="preserve"> These bacteria are included in the group of so-called ESKAPE pathogens (</w:t>
      </w:r>
      <w:r w:rsidRPr="00BE0921">
        <w:rPr>
          <w:rFonts w:asciiTheme="majorBidi" w:hAnsiTheme="majorBidi" w:cstheme="majorBidi"/>
          <w:i/>
          <w:iCs/>
          <w:sz w:val="24"/>
          <w:szCs w:val="24"/>
        </w:rPr>
        <w:t xml:space="preserve">Enterococcus faecium, S. aureus, Klebsiella pneumoniae, Acinetobacter baumannii, P. aeruginosa, </w:t>
      </w:r>
      <w:r w:rsidRPr="00BE0921">
        <w:rPr>
          <w:rFonts w:asciiTheme="majorBidi" w:hAnsiTheme="majorBidi" w:cstheme="majorBidi"/>
          <w:sz w:val="24"/>
          <w:szCs w:val="24"/>
        </w:rPr>
        <w:t>and</w:t>
      </w:r>
      <w:r w:rsidRPr="00BE0921">
        <w:rPr>
          <w:rFonts w:asciiTheme="majorBidi" w:hAnsiTheme="majorBidi" w:cstheme="majorBidi"/>
          <w:i/>
          <w:iCs/>
          <w:sz w:val="24"/>
          <w:szCs w:val="24"/>
        </w:rPr>
        <w:t xml:space="preserve"> Enterobacter</w:t>
      </w:r>
      <w:r w:rsidRPr="00BE0921">
        <w:rPr>
          <w:rFonts w:asciiTheme="majorBidi" w:hAnsiTheme="majorBidi" w:cstheme="majorBidi"/>
          <w:sz w:val="24"/>
          <w:szCs w:val="24"/>
        </w:rPr>
        <w:t xml:space="preserve"> </w:t>
      </w:r>
      <w:r w:rsidRPr="00BE0921">
        <w:rPr>
          <w:rFonts w:asciiTheme="majorBidi" w:hAnsiTheme="majorBidi" w:cstheme="majorBidi"/>
          <w:i/>
          <w:iCs/>
          <w:sz w:val="24"/>
          <w:szCs w:val="24"/>
        </w:rPr>
        <w:t>species</w:t>
      </w:r>
      <w:r w:rsidRPr="00BE0921">
        <w:rPr>
          <w:rFonts w:asciiTheme="majorBidi" w:hAnsiTheme="majorBidi" w:cstheme="majorBidi"/>
          <w:sz w:val="24"/>
          <w:szCs w:val="24"/>
        </w:rPr>
        <w:t xml:space="preserve">), capable of “escaping” antibiotic treatment due to increasing multi-drug resistance. Ubiquitously disseminated in the environment, especially in hospitals, it has become a major threat to human health due to the constant emergence of drug-resistant strains. This cross-sectional study investigated the prevalence and antibiogram pattern of </w:t>
      </w:r>
      <w:r w:rsidRPr="00CD00CD">
        <w:rPr>
          <w:rFonts w:asciiTheme="majorBidi" w:hAnsiTheme="majorBidi" w:cstheme="majorBidi"/>
          <w:i/>
          <w:iCs/>
          <w:sz w:val="24"/>
          <w:szCs w:val="24"/>
        </w:rPr>
        <w:t>Pseudomonas aeruginosa</w:t>
      </w:r>
      <w:r w:rsidRPr="00BE0921">
        <w:rPr>
          <w:rFonts w:asciiTheme="majorBidi" w:hAnsiTheme="majorBidi" w:cstheme="majorBidi"/>
          <w:sz w:val="24"/>
          <w:szCs w:val="24"/>
        </w:rPr>
        <w:t xml:space="preserve"> isolated from wound swabs of patients attending Specialist Hospital Sokoto. A total of 110 non-repetitive wound samples were analyzed, revealing a prevalence rate of 29% for </w:t>
      </w:r>
      <w:r w:rsidRPr="00CD00CD">
        <w:rPr>
          <w:rFonts w:asciiTheme="majorBidi" w:hAnsiTheme="majorBidi" w:cstheme="majorBidi"/>
          <w:i/>
          <w:iCs/>
          <w:sz w:val="24"/>
          <w:szCs w:val="24"/>
        </w:rPr>
        <w:t>P. aeruginosa</w:t>
      </w:r>
      <w:r w:rsidRPr="00BE0921">
        <w:rPr>
          <w:rFonts w:asciiTheme="majorBidi" w:hAnsiTheme="majorBidi" w:cstheme="majorBidi"/>
          <w:sz w:val="24"/>
          <w:szCs w:val="24"/>
        </w:rPr>
        <w:t>. The isolates exhibited high levels of resistance to commonly prescribed antibiotics, including streptomycin (100%), cefuroxime (96.9%), and ceftazidime (93.7%), while showing notable susceptibility to imipenem (78.1%) and ofloxacin (68.7%).</w:t>
      </w:r>
      <w:r w:rsidRPr="00DD7C2C">
        <w:rPr>
          <w:rFonts w:asciiTheme="majorBidi" w:hAnsiTheme="majorBidi" w:cstheme="majorBidi"/>
          <w:sz w:val="24"/>
          <w:szCs w:val="24"/>
        </w:rPr>
        <w:t xml:space="preserve"> </w:t>
      </w:r>
      <w:r w:rsidRPr="00BE0921">
        <w:rPr>
          <w:rFonts w:asciiTheme="majorBidi" w:hAnsiTheme="majorBidi" w:cstheme="majorBidi"/>
          <w:sz w:val="24"/>
          <w:szCs w:val="24"/>
        </w:rPr>
        <w:t xml:space="preserve">The age group 11–20 years recorded the highest infection rate (31.3%). Prevalence was higher among males (59.4%) than females (40.6%) and more pronounced in inpatients (56.8%) compared to outpatients (43.2%). These findings underscore the critical need for enhanced antibiotic stewardship programs, routine antimicrobial surveillance, and strict infection control practices to curb the emergence and spread of multidrug-resistant </w:t>
      </w:r>
      <w:r w:rsidRPr="00CD00CD">
        <w:rPr>
          <w:rFonts w:asciiTheme="majorBidi" w:hAnsiTheme="majorBidi" w:cstheme="majorBidi"/>
          <w:i/>
          <w:iCs/>
          <w:sz w:val="24"/>
          <w:szCs w:val="24"/>
        </w:rPr>
        <w:t>P. aeruginosa</w:t>
      </w:r>
      <w:r w:rsidRPr="00BE0921">
        <w:rPr>
          <w:rFonts w:asciiTheme="majorBidi" w:hAnsiTheme="majorBidi" w:cstheme="majorBidi"/>
          <w:sz w:val="24"/>
          <w:szCs w:val="24"/>
        </w:rPr>
        <w:t>.</w:t>
      </w:r>
    </w:p>
    <w:p w14:paraId="47A69570" w14:textId="77777777" w:rsidR="001F4C4E" w:rsidRDefault="001F4C4E"/>
    <w:sectPr w:rsidR="001F4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4E"/>
    <w:rsid w:val="001F4C4E"/>
    <w:rsid w:val="0050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41098"/>
  <w15:chartTrackingRefBased/>
  <w15:docId w15:val="{AA31E28A-9BB5-49DA-94EB-BA63D527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C4E"/>
    <w:pPr>
      <w:spacing w:line="259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4C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C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C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C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C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C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C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C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C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C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C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C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C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C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C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C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C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4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4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C4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4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4C4E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4C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4C4E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4C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C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C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C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2026-05-11T08:44:00Z</dcterms:created>
  <dcterms:modified xsi:type="dcterms:W3CDTF">2026-05-11T08:45:00Z</dcterms:modified>
</cp:coreProperties>
</file>