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7BEF" w14:textId="77777777" w:rsidR="00555D7D" w:rsidRPr="001552D1" w:rsidRDefault="00555D7D" w:rsidP="00555D7D">
      <w:pPr>
        <w:spacing w:line="480" w:lineRule="auto"/>
        <w:jc w:val="both"/>
        <w:rPr>
          <w:rFonts w:ascii="Times New Roman" w:hAnsi="Times New Roman"/>
          <w:sz w:val="24"/>
          <w:szCs w:val="24"/>
        </w:rPr>
      </w:pPr>
      <w:r w:rsidRPr="001552D1">
        <w:rPr>
          <w:rFonts w:ascii="Times New Roman" w:hAnsi="Times New Roman"/>
          <w:sz w:val="24"/>
          <w:szCs w:val="24"/>
        </w:rPr>
        <w:t xml:space="preserve">This study investigates the effect of </w:t>
      </w:r>
      <w:r w:rsidRPr="001552D1">
        <w:rPr>
          <w:rFonts w:ascii="Times New Roman" w:hAnsi="Times New Roman"/>
          <w:i/>
          <w:sz w:val="24"/>
          <w:szCs w:val="24"/>
        </w:rPr>
        <w:t xml:space="preserve">Calotropis </w:t>
      </w:r>
      <w:proofErr w:type="spellStart"/>
      <w:r w:rsidRPr="001552D1">
        <w:rPr>
          <w:rFonts w:ascii="Times New Roman" w:hAnsi="Times New Roman"/>
          <w:i/>
          <w:sz w:val="24"/>
          <w:szCs w:val="24"/>
        </w:rPr>
        <w:t>procera</w:t>
      </w:r>
      <w:proofErr w:type="spellEnd"/>
      <w:r w:rsidRPr="001552D1">
        <w:rPr>
          <w:rFonts w:ascii="Times New Roman" w:hAnsi="Times New Roman"/>
          <w:sz w:val="24"/>
          <w:szCs w:val="24"/>
        </w:rPr>
        <w:t xml:space="preserve"> leaf aqueous extract on </w:t>
      </w:r>
      <w:proofErr w:type="spellStart"/>
      <w:r w:rsidRPr="001552D1">
        <w:rPr>
          <w:rFonts w:ascii="Times New Roman" w:hAnsi="Times New Roman"/>
          <w:sz w:val="24"/>
          <w:szCs w:val="24"/>
        </w:rPr>
        <w:t>haematological</w:t>
      </w:r>
      <w:proofErr w:type="spellEnd"/>
      <w:r w:rsidRPr="001552D1">
        <w:rPr>
          <w:rFonts w:ascii="Times New Roman" w:hAnsi="Times New Roman"/>
          <w:sz w:val="24"/>
          <w:szCs w:val="24"/>
        </w:rPr>
        <w:t xml:space="preserve"> parameters to evaluate its potential effect. </w:t>
      </w:r>
      <w:r w:rsidRPr="001552D1">
        <w:rPr>
          <w:rFonts w:ascii="Times New Roman" w:hAnsi="Times New Roman"/>
          <w:i/>
          <w:sz w:val="24"/>
          <w:szCs w:val="24"/>
        </w:rPr>
        <w:t xml:space="preserve">Calotropis </w:t>
      </w:r>
      <w:proofErr w:type="spellStart"/>
      <w:r w:rsidRPr="001552D1">
        <w:rPr>
          <w:rFonts w:ascii="Times New Roman" w:hAnsi="Times New Roman"/>
          <w:i/>
          <w:sz w:val="24"/>
          <w:szCs w:val="24"/>
        </w:rPr>
        <w:t>procera</w:t>
      </w:r>
      <w:proofErr w:type="spellEnd"/>
      <w:r w:rsidRPr="001552D1">
        <w:rPr>
          <w:rFonts w:ascii="Times New Roman" w:hAnsi="Times New Roman"/>
          <w:sz w:val="24"/>
          <w:szCs w:val="24"/>
        </w:rPr>
        <w:t xml:space="preserve">, commonly known as the apple of Sodom, is a medicinal plant traditionally used in various treatments due to its phytochemical properties, including alkaloids, flavonoids, and saponins. Despite its widespread use in traditional medicine, limited research exists on its effects on </w:t>
      </w:r>
      <w:proofErr w:type="spellStart"/>
      <w:r w:rsidRPr="001552D1">
        <w:rPr>
          <w:rFonts w:ascii="Times New Roman" w:hAnsi="Times New Roman"/>
          <w:sz w:val="24"/>
          <w:szCs w:val="24"/>
        </w:rPr>
        <w:t>haematological</w:t>
      </w:r>
      <w:proofErr w:type="spellEnd"/>
      <w:r w:rsidRPr="001552D1">
        <w:rPr>
          <w:rFonts w:ascii="Times New Roman" w:hAnsi="Times New Roman"/>
          <w:sz w:val="24"/>
          <w:szCs w:val="24"/>
        </w:rPr>
        <w:t xml:space="preserve"> indices, which are critical indicators of overall health and physiological functioning. The study involved the preparation of </w:t>
      </w:r>
      <w:r w:rsidRPr="001552D1">
        <w:rPr>
          <w:rFonts w:ascii="Times New Roman" w:hAnsi="Times New Roman"/>
          <w:i/>
          <w:sz w:val="24"/>
          <w:szCs w:val="24"/>
        </w:rPr>
        <w:t xml:space="preserve">Calotropis </w:t>
      </w:r>
      <w:proofErr w:type="spellStart"/>
      <w:r w:rsidRPr="001552D1">
        <w:rPr>
          <w:rFonts w:ascii="Times New Roman" w:hAnsi="Times New Roman"/>
          <w:i/>
          <w:sz w:val="24"/>
          <w:szCs w:val="24"/>
        </w:rPr>
        <w:t>procera</w:t>
      </w:r>
      <w:proofErr w:type="spellEnd"/>
      <w:r w:rsidRPr="001552D1">
        <w:rPr>
          <w:rFonts w:ascii="Times New Roman" w:hAnsi="Times New Roman"/>
          <w:sz w:val="24"/>
          <w:szCs w:val="24"/>
        </w:rPr>
        <w:t xml:space="preserve"> aqueous leaf extract, which was administered to test subjects in graded doses. </w:t>
      </w:r>
      <w:proofErr w:type="spellStart"/>
      <w:r w:rsidRPr="001552D1">
        <w:rPr>
          <w:rFonts w:ascii="Times New Roman" w:hAnsi="Times New Roman"/>
          <w:sz w:val="24"/>
          <w:szCs w:val="24"/>
        </w:rPr>
        <w:t>Haematological</w:t>
      </w:r>
      <w:proofErr w:type="spellEnd"/>
      <w:r w:rsidRPr="001552D1">
        <w:rPr>
          <w:rFonts w:ascii="Times New Roman" w:hAnsi="Times New Roman"/>
          <w:sz w:val="24"/>
          <w:szCs w:val="24"/>
        </w:rPr>
        <w:t xml:space="preserve"> parameters, such as red blood cell (RBC) count, </w:t>
      </w:r>
      <w:proofErr w:type="spellStart"/>
      <w:r w:rsidRPr="001552D1">
        <w:rPr>
          <w:rFonts w:ascii="Times New Roman" w:hAnsi="Times New Roman"/>
          <w:sz w:val="24"/>
          <w:szCs w:val="24"/>
        </w:rPr>
        <w:t>haemoglobin</w:t>
      </w:r>
      <w:proofErr w:type="spellEnd"/>
      <w:r w:rsidRPr="001552D1">
        <w:rPr>
          <w:rFonts w:ascii="Times New Roman" w:hAnsi="Times New Roman"/>
          <w:sz w:val="24"/>
          <w:szCs w:val="24"/>
        </w:rPr>
        <w:t xml:space="preserve"> concentration, packed cell volume (PCV), white blood cell (WBC) and platelets. The findings revealed that </w:t>
      </w:r>
      <w:proofErr w:type="spellStart"/>
      <w:r w:rsidRPr="001552D1">
        <w:rPr>
          <w:rFonts w:ascii="Times New Roman" w:hAnsi="Times New Roman"/>
          <w:sz w:val="24"/>
          <w:szCs w:val="24"/>
        </w:rPr>
        <w:t>calotropis</w:t>
      </w:r>
      <w:proofErr w:type="spellEnd"/>
      <w:r w:rsidRPr="001552D1">
        <w:rPr>
          <w:rFonts w:ascii="Times New Roman" w:hAnsi="Times New Roman"/>
          <w:sz w:val="24"/>
          <w:szCs w:val="24"/>
        </w:rPr>
        <w:t xml:space="preserve"> </w:t>
      </w:r>
      <w:proofErr w:type="spellStart"/>
      <w:r w:rsidRPr="001552D1">
        <w:rPr>
          <w:rFonts w:ascii="Times New Roman" w:hAnsi="Times New Roman"/>
          <w:sz w:val="24"/>
          <w:szCs w:val="24"/>
        </w:rPr>
        <w:t>procera</w:t>
      </w:r>
      <w:proofErr w:type="spellEnd"/>
      <w:r w:rsidRPr="001552D1">
        <w:rPr>
          <w:rFonts w:ascii="Times New Roman" w:hAnsi="Times New Roman"/>
          <w:sz w:val="24"/>
          <w:szCs w:val="24"/>
        </w:rPr>
        <w:t xml:space="preserve"> aqueous leave extract influence RBC and Hematocrit suggesting that it enhances erythropoiesis or cell survival. The significant effects on lymphocytes (p = 0.006), neutrophils (p = 0.011), and eosinophils (p = 0.0259) suggest that the extract has immunomodulatory properties. These findings align with the known anti-inflammatory and antimicrobial activities of Calotropis </w:t>
      </w:r>
      <w:proofErr w:type="spellStart"/>
      <w:r w:rsidRPr="001552D1">
        <w:rPr>
          <w:rFonts w:ascii="Times New Roman" w:hAnsi="Times New Roman"/>
          <w:sz w:val="24"/>
          <w:szCs w:val="24"/>
        </w:rPr>
        <w:t>procera</w:t>
      </w:r>
      <w:proofErr w:type="spellEnd"/>
      <w:r w:rsidRPr="001552D1">
        <w:rPr>
          <w:rFonts w:ascii="Times New Roman" w:hAnsi="Times New Roman"/>
          <w:sz w:val="24"/>
          <w:szCs w:val="24"/>
        </w:rPr>
        <w:t>. The absence of significant changes in total WBC count, monocytes, and basophils may indicate a selective impact on specific immune cell populations rather than a generalized immune response.</w:t>
      </w:r>
    </w:p>
    <w:p w14:paraId="34815BFD" w14:textId="77777777" w:rsidR="00555D7D" w:rsidRPr="001552D1" w:rsidRDefault="00555D7D" w:rsidP="00555D7D">
      <w:pPr>
        <w:spacing w:line="480" w:lineRule="auto"/>
        <w:jc w:val="both"/>
        <w:rPr>
          <w:rFonts w:ascii="Times New Roman" w:hAnsi="Times New Roman"/>
          <w:sz w:val="24"/>
          <w:szCs w:val="24"/>
        </w:rPr>
      </w:pPr>
    </w:p>
    <w:p w14:paraId="61B2D36C" w14:textId="77777777" w:rsidR="00555D7D" w:rsidRPr="001552D1" w:rsidRDefault="00555D7D" w:rsidP="00555D7D">
      <w:pPr>
        <w:spacing w:line="480" w:lineRule="auto"/>
        <w:jc w:val="center"/>
        <w:rPr>
          <w:rFonts w:ascii="Times New Roman" w:hAnsi="Times New Roman"/>
          <w:b/>
          <w:sz w:val="24"/>
          <w:szCs w:val="24"/>
        </w:rPr>
      </w:pPr>
    </w:p>
    <w:p w14:paraId="2465C043" w14:textId="77777777" w:rsidR="00555D7D" w:rsidRPr="001552D1" w:rsidRDefault="00555D7D" w:rsidP="00555D7D">
      <w:pPr>
        <w:spacing w:line="480" w:lineRule="auto"/>
        <w:jc w:val="center"/>
        <w:rPr>
          <w:rFonts w:ascii="Times New Roman" w:hAnsi="Times New Roman"/>
          <w:b/>
          <w:sz w:val="24"/>
          <w:szCs w:val="24"/>
        </w:rPr>
      </w:pPr>
    </w:p>
    <w:p w14:paraId="51C6AD72" w14:textId="77777777" w:rsidR="00555D7D" w:rsidRDefault="00555D7D"/>
    <w:sectPr w:rsidR="00555D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D7D"/>
    <w:rsid w:val="00555D7D"/>
    <w:rsid w:val="00A45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03C51"/>
  <w15:chartTrackingRefBased/>
  <w15:docId w15:val="{EDB2A56B-F72F-43D9-A41F-B3328E45A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D7D"/>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555D7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55D7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55D7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55D7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555D7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555D7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555D7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555D7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555D7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D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5D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5D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5D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5D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5D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D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D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D7D"/>
    <w:rPr>
      <w:rFonts w:eastAsiaTheme="majorEastAsia" w:cstheme="majorBidi"/>
      <w:color w:val="272727" w:themeColor="text1" w:themeTint="D8"/>
    </w:rPr>
  </w:style>
  <w:style w:type="paragraph" w:styleId="Title">
    <w:name w:val="Title"/>
    <w:basedOn w:val="Normal"/>
    <w:next w:val="Normal"/>
    <w:link w:val="TitleChar"/>
    <w:uiPriority w:val="10"/>
    <w:qFormat/>
    <w:rsid w:val="00555D7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55D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D7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55D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D7D"/>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555D7D"/>
    <w:rPr>
      <w:i/>
      <w:iCs/>
      <w:color w:val="404040" w:themeColor="text1" w:themeTint="BF"/>
    </w:rPr>
  </w:style>
  <w:style w:type="paragraph" w:styleId="ListParagraph">
    <w:name w:val="List Paragraph"/>
    <w:basedOn w:val="Normal"/>
    <w:uiPriority w:val="34"/>
    <w:qFormat/>
    <w:rsid w:val="00555D7D"/>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555D7D"/>
    <w:rPr>
      <w:i/>
      <w:iCs/>
      <w:color w:val="2F5496" w:themeColor="accent1" w:themeShade="BF"/>
    </w:rPr>
  </w:style>
  <w:style w:type="paragraph" w:styleId="IntenseQuote">
    <w:name w:val="Intense Quote"/>
    <w:basedOn w:val="Normal"/>
    <w:next w:val="Normal"/>
    <w:link w:val="IntenseQuoteChar"/>
    <w:uiPriority w:val="30"/>
    <w:qFormat/>
    <w:rsid w:val="00555D7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555D7D"/>
    <w:rPr>
      <w:i/>
      <w:iCs/>
      <w:color w:val="2F5496" w:themeColor="accent1" w:themeShade="BF"/>
    </w:rPr>
  </w:style>
  <w:style w:type="character" w:styleId="IntenseReference">
    <w:name w:val="Intense Reference"/>
    <w:basedOn w:val="DefaultParagraphFont"/>
    <w:uiPriority w:val="32"/>
    <w:qFormat/>
    <w:rsid w:val="00555D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1238</Characters>
  <Application>Microsoft Office Word</Application>
  <DocSecurity>0</DocSecurity>
  <Lines>10</Lines>
  <Paragraphs>2</Paragraphs>
  <ScaleCrop>false</ScaleCrop>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2026-05-14T10:42:00Z</dcterms:created>
  <dcterms:modified xsi:type="dcterms:W3CDTF">2026-05-14T10:43:00Z</dcterms:modified>
</cp:coreProperties>
</file>