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A6D95">
      <w:pPr>
        <w:pStyle w:val="2"/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</w:rPr>
      </w:pPr>
      <w:bookmarkStart w:id="0" w:name="_Toc529011390"/>
      <w:r>
        <w:rPr>
          <w:rFonts w:ascii="Times New Roman" w:hAnsi="Times New Roman" w:cs="Times New Roman"/>
          <w:b/>
          <w:color w:val="auto"/>
          <w:sz w:val="24"/>
        </w:rPr>
        <w:t>ABSTRACT</w:t>
      </w:r>
      <w:bookmarkEnd w:id="0"/>
    </w:p>
    <w:p w14:paraId="520128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fo</w:t>
      </w:r>
      <w:r>
        <w:rPr>
          <w:rFonts w:ascii="Times New Roman" w:hAnsi="Times New Roman" w:cs="Times New Roman"/>
          <w:sz w:val="24"/>
          <w:szCs w:val="24"/>
        </w:rPr>
        <w:t>od is a perishable commodity and the primary objectives of food preservation is to prevent or slow down the growth of micro-organisms and other life forms. Sodium benzoate (E 211) is one of the food additives andvitamin C plays an important role in preservation. Reports have shown that small amounts of benzene is formed in drinks and beverages when this two compound arecombined as preservatives.Twenty-four albino rats were used and divided into six groupsof four animals each. Group A which is the control was administered distilled water and groups B (160mg/kg of vitamin C), C (240mg/kg of sodium benzoate), D (120mg/kg of vitamin and sodium benzoate), E (160mg/kg of vitamin and sodium benzoate) and F (240mg/kg of vitamin and sodium benzoate) administered orallyfor 14 days. The serum was collected in plain tube from the jugular veins.The results indicates slight significance decrease (p&lt;0.05) in vitamins A and C with exception of group B administered ascorbic acid while an increase in vitamin E levels. The catalase and malondialdehyde levels both show significant increase while superoxide dismutase showed high significantdecrease to the control. There was significant decrease in HDL-cholesterol, triglycerides and VLDL-cholesterol compare to the control while LDL-cholesterol and cholesterol showed a significanceincrease compared to the control. In conclusion, there was increased levels of the antioxidant enzymes and vitaminsdue to ROS formation showing the compound have oxidant activities and also show a risk in coronary heart disease due to its poor lipid profile estimation.</w:t>
      </w:r>
    </w:p>
    <w:p w14:paraId="67DE4BB2"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C5BE5"/>
    <w:rsid w:val="4B6C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2026-05-04T11:40:00Z</dcterms:created>
  <dc:creator>Elibrary</dc:creator>
  <cp:lastModifiedBy>Elibrary</cp:lastModifiedBy>
  <dcterms:modified xsi:type="dcterms:W3CDTF">2026-05-04T11:40:47Z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ECC76417B5BF49BD8A60CD4C477266F7_11</vt:lpwstr>
  </property>
  <property fmtid="{D5CDD505-2E9C-101B-9397-08002B2CF9AE}" pid="4" name="KSOTemplateDocerSaveRecord">
    <vt:lpwstr>eyJoZGlkIjoiYWMyMTc3YWRjMGEzM2IxZThmMjFkNTQ5MjY5YjM0NjgifQ==</vt:lpwstr>
  </property>
</Properties>
</file>