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07FD5" w14:textId="77777777" w:rsidR="0052734F" w:rsidRDefault="0052734F" w:rsidP="0052734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Child malnutrition remains a major public health problem in Nigeria, particularly in the northern region. Growth Monitoring and Promotion (GMP) is a preventive strategy aimed at early detection of growth faltering and improvement of child feeding and care practices through regular anthropometric assessment and counselling. The </w:t>
      </w:r>
      <w:r>
        <w:rPr>
          <w:rFonts w:ascii="Times New Roman" w:eastAsia="Times New Roman" w:hAnsi="Times New Roman" w:cs="Times New Roman"/>
          <w:bCs/>
          <w:sz w:val="24"/>
          <w:szCs w:val="24"/>
        </w:rPr>
        <w:t>objective of this study was to assess the knowledge, attitudes, and practices of Growth Monitoring and Promotion among health workers and caregivers, and to identify factors affecting its implementation in selected Primary Health Care facilities in Sokoto State</w:t>
      </w:r>
      <w:r>
        <w:rPr>
          <w:rFonts w:ascii="Times New Roman" w:eastAsia="Times New Roman" w:hAnsi="Times New Roman" w:cs="Times New Roman"/>
          <w:sz w:val="24"/>
          <w:szCs w:val="24"/>
        </w:rPr>
        <w:t xml:space="preserve">. A descriptive cross-sectional study design was adopted involving 216 respondents, comprising 21 health workers and 189 caregivers selected through purposive sampling. Data were collected using validated structured questionnaires administered in English and Hausa languages. Statistical analysis was performed using SPSS version 20. The result </w:t>
      </w:r>
      <w:proofErr w:type="gramStart"/>
      <w:r>
        <w:rPr>
          <w:rFonts w:ascii="Times New Roman" w:eastAsia="Times New Roman" w:hAnsi="Times New Roman" w:cs="Times New Roman"/>
          <w:sz w:val="24"/>
          <w:szCs w:val="24"/>
        </w:rPr>
        <w:t>indicate</w:t>
      </w:r>
      <w:proofErr w:type="gramEnd"/>
      <w:r>
        <w:rPr>
          <w:rFonts w:ascii="Times New Roman" w:eastAsia="Times New Roman" w:hAnsi="Times New Roman" w:cs="Times New Roman"/>
          <w:sz w:val="24"/>
          <w:szCs w:val="24"/>
        </w:rPr>
        <w:t xml:space="preserve"> that 69.4% of health workers in Gidan </w:t>
      </w:r>
      <w:proofErr w:type="spellStart"/>
      <w:r>
        <w:rPr>
          <w:rFonts w:ascii="Times New Roman" w:eastAsia="Times New Roman" w:hAnsi="Times New Roman" w:cs="Times New Roman"/>
          <w:sz w:val="24"/>
          <w:szCs w:val="24"/>
        </w:rPr>
        <w:t>Dahala</w:t>
      </w:r>
      <w:proofErr w:type="spellEnd"/>
      <w:r>
        <w:rPr>
          <w:rFonts w:ascii="Times New Roman" w:eastAsia="Times New Roman" w:hAnsi="Times New Roman" w:cs="Times New Roman"/>
          <w:sz w:val="24"/>
          <w:szCs w:val="24"/>
        </w:rPr>
        <w:t xml:space="preserve"> Mabera, 65.3% in </w:t>
      </w:r>
      <w:proofErr w:type="spellStart"/>
      <w:r>
        <w:rPr>
          <w:rFonts w:ascii="Times New Roman" w:eastAsia="Times New Roman" w:hAnsi="Times New Roman" w:cs="Times New Roman"/>
          <w:sz w:val="24"/>
          <w:szCs w:val="24"/>
        </w:rPr>
        <w:t>Gagi</w:t>
      </w:r>
      <w:proofErr w:type="spellEnd"/>
      <w:r>
        <w:rPr>
          <w:rFonts w:ascii="Times New Roman" w:eastAsia="Times New Roman" w:hAnsi="Times New Roman" w:cs="Times New Roman"/>
          <w:sz w:val="24"/>
          <w:szCs w:val="24"/>
        </w:rPr>
        <w:t xml:space="preserve"> Basic Health Clinic, and 61.2% in </w:t>
      </w:r>
      <w:proofErr w:type="spellStart"/>
      <w:r>
        <w:rPr>
          <w:rFonts w:ascii="Times New Roman" w:eastAsia="Times New Roman" w:hAnsi="Times New Roman" w:cs="Times New Roman"/>
          <w:sz w:val="24"/>
          <w:szCs w:val="24"/>
        </w:rPr>
        <w:t>Mabera</w:t>
      </w:r>
      <w:proofErr w:type="spellEnd"/>
      <w:r>
        <w:rPr>
          <w:rFonts w:ascii="Times New Roman" w:eastAsia="Times New Roman" w:hAnsi="Times New Roman" w:cs="Times New Roman"/>
          <w:sz w:val="24"/>
          <w:szCs w:val="24"/>
        </w:rPr>
        <w:t xml:space="preserve"> Mujaya had moderate knowledge of GMP. Positive attitudes toward GMP were observed in </w:t>
      </w:r>
      <w:proofErr w:type="spellStart"/>
      <w:r>
        <w:rPr>
          <w:rFonts w:ascii="Times New Roman" w:eastAsia="Times New Roman" w:hAnsi="Times New Roman" w:cs="Times New Roman"/>
          <w:sz w:val="24"/>
          <w:szCs w:val="24"/>
        </w:rPr>
        <w:t>Mabera</w:t>
      </w:r>
      <w:proofErr w:type="spellEnd"/>
      <w:r>
        <w:rPr>
          <w:rFonts w:ascii="Times New Roman" w:eastAsia="Times New Roman" w:hAnsi="Times New Roman" w:cs="Times New Roman"/>
          <w:sz w:val="24"/>
          <w:szCs w:val="24"/>
        </w:rPr>
        <w:t xml:space="preserve"> Gidan </w:t>
      </w:r>
      <w:proofErr w:type="spellStart"/>
      <w:r>
        <w:rPr>
          <w:rFonts w:ascii="Times New Roman" w:eastAsia="Times New Roman" w:hAnsi="Times New Roman" w:cs="Times New Roman"/>
          <w:sz w:val="24"/>
          <w:szCs w:val="24"/>
        </w:rPr>
        <w:t>Dahala</w:t>
      </w:r>
      <w:proofErr w:type="spellEnd"/>
      <w:r>
        <w:rPr>
          <w:rFonts w:ascii="Times New Roman" w:eastAsia="Times New Roman" w:hAnsi="Times New Roman" w:cs="Times New Roman"/>
          <w:sz w:val="24"/>
          <w:szCs w:val="24"/>
        </w:rPr>
        <w:t xml:space="preserve"> (34.3%) and </w:t>
      </w:r>
      <w:proofErr w:type="spellStart"/>
      <w:r>
        <w:rPr>
          <w:rFonts w:ascii="Times New Roman" w:eastAsia="Times New Roman" w:hAnsi="Times New Roman" w:cs="Times New Roman"/>
          <w:sz w:val="24"/>
          <w:szCs w:val="24"/>
        </w:rPr>
        <w:t>Mabera</w:t>
      </w:r>
      <w:proofErr w:type="spellEnd"/>
      <w:r>
        <w:rPr>
          <w:rFonts w:ascii="Times New Roman" w:eastAsia="Times New Roman" w:hAnsi="Times New Roman" w:cs="Times New Roman"/>
          <w:sz w:val="24"/>
          <w:szCs w:val="24"/>
        </w:rPr>
        <w:t xml:space="preserve"> Mujaya (45.7%), while </w:t>
      </w:r>
      <w:proofErr w:type="spellStart"/>
      <w:r>
        <w:rPr>
          <w:rFonts w:ascii="Times New Roman" w:eastAsia="Times New Roman" w:hAnsi="Times New Roman" w:cs="Times New Roman"/>
          <w:sz w:val="24"/>
          <w:szCs w:val="24"/>
        </w:rPr>
        <w:t>Gagi</w:t>
      </w:r>
      <w:proofErr w:type="spellEnd"/>
      <w:r>
        <w:rPr>
          <w:rFonts w:ascii="Times New Roman" w:eastAsia="Times New Roman" w:hAnsi="Times New Roman" w:cs="Times New Roman"/>
          <w:sz w:val="24"/>
          <w:szCs w:val="24"/>
        </w:rPr>
        <w:t xml:space="preserve"> Basic Health Clinic recorded 37.1%. Regular child weighing was highest in Gidan </w:t>
      </w:r>
      <w:proofErr w:type="spellStart"/>
      <w:r>
        <w:rPr>
          <w:rFonts w:ascii="Times New Roman" w:eastAsia="Times New Roman" w:hAnsi="Times New Roman" w:cs="Times New Roman"/>
          <w:sz w:val="24"/>
          <w:szCs w:val="24"/>
        </w:rPr>
        <w:t>Dahala</w:t>
      </w:r>
      <w:proofErr w:type="spellEnd"/>
      <w:r>
        <w:rPr>
          <w:rFonts w:ascii="Times New Roman" w:eastAsia="Times New Roman" w:hAnsi="Times New Roman" w:cs="Times New Roman"/>
          <w:sz w:val="24"/>
          <w:szCs w:val="24"/>
        </w:rPr>
        <w:t xml:space="preserve"> Mabera (57.4%), followed by </w:t>
      </w:r>
      <w:proofErr w:type="spellStart"/>
      <w:r>
        <w:rPr>
          <w:rFonts w:ascii="Times New Roman" w:eastAsia="Times New Roman" w:hAnsi="Times New Roman" w:cs="Times New Roman"/>
          <w:sz w:val="24"/>
          <w:szCs w:val="24"/>
        </w:rPr>
        <w:t>Gagi</w:t>
      </w:r>
      <w:proofErr w:type="spellEnd"/>
      <w:r>
        <w:rPr>
          <w:rFonts w:ascii="Times New Roman" w:eastAsia="Times New Roman" w:hAnsi="Times New Roman" w:cs="Times New Roman"/>
          <w:sz w:val="24"/>
          <w:szCs w:val="24"/>
        </w:rPr>
        <w:t xml:space="preserve"> Basic Health Clinic (43.0%) and </w:t>
      </w:r>
      <w:proofErr w:type="spellStart"/>
      <w:r>
        <w:rPr>
          <w:rFonts w:ascii="Times New Roman" w:eastAsia="Times New Roman" w:hAnsi="Times New Roman" w:cs="Times New Roman"/>
          <w:sz w:val="24"/>
          <w:szCs w:val="24"/>
        </w:rPr>
        <w:t>Mabera</w:t>
      </w:r>
      <w:proofErr w:type="spellEnd"/>
      <w:r>
        <w:rPr>
          <w:rFonts w:ascii="Times New Roman" w:eastAsia="Times New Roman" w:hAnsi="Times New Roman" w:cs="Times New Roman"/>
          <w:sz w:val="24"/>
          <w:szCs w:val="24"/>
        </w:rPr>
        <w:t xml:space="preserve"> Mujaya (28.6%). None of the facilities consistently practiced growth chart plotting or caregiver counselling (0.0%). Major challenges affecting GMP implementation included inadequate training, insufficient human resources, and lack of materials. Caregiver routine clinic attendance was highest in </w:t>
      </w:r>
      <w:proofErr w:type="spellStart"/>
      <w:r>
        <w:rPr>
          <w:rFonts w:ascii="Times New Roman" w:eastAsia="Times New Roman" w:hAnsi="Times New Roman" w:cs="Times New Roman"/>
          <w:sz w:val="24"/>
          <w:szCs w:val="24"/>
        </w:rPr>
        <w:t>Gagi</w:t>
      </w:r>
      <w:proofErr w:type="spellEnd"/>
      <w:r>
        <w:rPr>
          <w:rFonts w:ascii="Times New Roman" w:eastAsia="Times New Roman" w:hAnsi="Times New Roman" w:cs="Times New Roman"/>
          <w:sz w:val="24"/>
          <w:szCs w:val="24"/>
        </w:rPr>
        <w:t xml:space="preserve"> Basic Health Clinic (90.5%). Children aged 0–5 years in </w:t>
      </w:r>
      <w:proofErr w:type="spellStart"/>
      <w:r>
        <w:rPr>
          <w:rFonts w:ascii="Times New Roman" w:eastAsia="Times New Roman" w:hAnsi="Times New Roman" w:cs="Times New Roman"/>
          <w:sz w:val="24"/>
          <w:szCs w:val="24"/>
        </w:rPr>
        <w:t>Mabera</w:t>
      </w:r>
      <w:proofErr w:type="spellEnd"/>
      <w:r>
        <w:rPr>
          <w:rFonts w:ascii="Times New Roman" w:eastAsia="Times New Roman" w:hAnsi="Times New Roman" w:cs="Times New Roman"/>
          <w:sz w:val="24"/>
          <w:szCs w:val="24"/>
        </w:rPr>
        <w:t xml:space="preserve"> Gidan </w:t>
      </w:r>
      <w:proofErr w:type="spellStart"/>
      <w:r>
        <w:rPr>
          <w:rFonts w:ascii="Times New Roman" w:eastAsia="Times New Roman" w:hAnsi="Times New Roman" w:cs="Times New Roman"/>
          <w:sz w:val="24"/>
          <w:szCs w:val="24"/>
        </w:rPr>
        <w:t>Dahala</w:t>
      </w:r>
      <w:proofErr w:type="spellEnd"/>
      <w:r>
        <w:rPr>
          <w:rFonts w:ascii="Times New Roman" w:eastAsia="Times New Roman" w:hAnsi="Times New Roman" w:cs="Times New Roman"/>
          <w:sz w:val="24"/>
          <w:szCs w:val="24"/>
        </w:rPr>
        <w:t xml:space="preserve"> had the best nutritional status (71.4%). In conclusion, despite adequate knowledge of GMP among health workers, poor implementation persists due to systemic and resource-related constraints. Strengthening training, supervision, and provision of GMP tools is essential for improving child nutrition outcomes in Sokoto State.</w:t>
      </w:r>
    </w:p>
    <w:p w14:paraId="76C20AA9" w14:textId="77777777" w:rsidR="0052734F" w:rsidRDefault="0052734F"/>
    <w:sectPr w:rsidR="005273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34F"/>
    <w:rsid w:val="0052734F"/>
    <w:rsid w:val="009A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BEFAC"/>
  <w15:chartTrackingRefBased/>
  <w15:docId w15:val="{5AA81656-65D4-4910-8FB2-6431ECC2E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34F"/>
    <w:pPr>
      <w:spacing w:line="259" w:lineRule="auto"/>
    </w:pPr>
    <w:rPr>
      <w:kern w:val="0"/>
      <w:sz w:val="22"/>
      <w:szCs w:val="22"/>
      <w14:ligatures w14:val="none"/>
    </w:rPr>
  </w:style>
  <w:style w:type="paragraph" w:styleId="Heading1">
    <w:name w:val="heading 1"/>
    <w:basedOn w:val="Normal"/>
    <w:next w:val="Normal"/>
    <w:link w:val="Heading1Char"/>
    <w:uiPriority w:val="9"/>
    <w:qFormat/>
    <w:rsid w:val="0052734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2734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2734F"/>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2734F"/>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2734F"/>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2734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2734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2734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2734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34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734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734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734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734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73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73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73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734F"/>
    <w:rPr>
      <w:rFonts w:eastAsiaTheme="majorEastAsia" w:cstheme="majorBidi"/>
      <w:color w:val="272727" w:themeColor="text1" w:themeTint="D8"/>
    </w:rPr>
  </w:style>
  <w:style w:type="paragraph" w:styleId="Title">
    <w:name w:val="Title"/>
    <w:basedOn w:val="Normal"/>
    <w:next w:val="Normal"/>
    <w:link w:val="TitleChar"/>
    <w:uiPriority w:val="10"/>
    <w:qFormat/>
    <w:rsid w:val="0052734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273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734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273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734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2734F"/>
    <w:rPr>
      <w:i/>
      <w:iCs/>
      <w:color w:val="404040" w:themeColor="text1" w:themeTint="BF"/>
    </w:rPr>
  </w:style>
  <w:style w:type="paragraph" w:styleId="ListParagraph">
    <w:name w:val="List Paragraph"/>
    <w:basedOn w:val="Normal"/>
    <w:uiPriority w:val="34"/>
    <w:qFormat/>
    <w:rsid w:val="0052734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2734F"/>
    <w:rPr>
      <w:i/>
      <w:iCs/>
      <w:color w:val="2F5496" w:themeColor="accent1" w:themeShade="BF"/>
    </w:rPr>
  </w:style>
  <w:style w:type="paragraph" w:styleId="IntenseQuote">
    <w:name w:val="Intense Quote"/>
    <w:basedOn w:val="Normal"/>
    <w:next w:val="Normal"/>
    <w:link w:val="IntenseQuoteChar"/>
    <w:uiPriority w:val="30"/>
    <w:qFormat/>
    <w:rsid w:val="0052734F"/>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2734F"/>
    <w:rPr>
      <w:i/>
      <w:iCs/>
      <w:color w:val="2F5496" w:themeColor="accent1" w:themeShade="BF"/>
    </w:rPr>
  </w:style>
  <w:style w:type="character" w:styleId="IntenseReference">
    <w:name w:val="Intense Reference"/>
    <w:basedOn w:val="DefaultParagraphFont"/>
    <w:uiPriority w:val="32"/>
    <w:qFormat/>
    <w:rsid w:val="0052734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2026-05-26T08:10:00Z</dcterms:created>
  <dcterms:modified xsi:type="dcterms:W3CDTF">2026-05-26T08:11:00Z</dcterms:modified>
</cp:coreProperties>
</file>