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175AC" w14:textId="77777777" w:rsidR="00345461" w:rsidRDefault="00345461" w:rsidP="00345461">
      <w:pPr>
        <w:pStyle w:val="NormalWeb"/>
        <w:spacing w:beforeAutospacing="0" w:line="360" w:lineRule="auto"/>
        <w:jc w:val="both"/>
        <w:rPr>
          <w:rFonts w:eastAsia="sans-serif"/>
        </w:rPr>
      </w:pPr>
      <w:r>
        <w:rPr>
          <w:rFonts w:eastAsia="sans-serif"/>
        </w:rPr>
        <w:t>Iron deficiency remains a major public health concern among female adolescents, particularly in low-resource settings like Sokoto Metropolis, Nigeria. Adolescence is a period of rapid growth and increased nutritional demands, yet limited knowledge, poor attitudes, and suboptimal consumption of iron-rich foods exacerbate the risk of iron deficiency anemia. This study assessed the knowledge, attitude, and consumption (KAC) of iron-rich foods among 125 female adolescents aged 10–19 years from four selected public secondary schools in Sokoto Metropolis. A descriptive cross-sectional design was employed, using a structured, self-administered questionnaire to collect data on socio-demographic characteristics, nutrition knowledge, attitudes toward iron-rich foods, and dietary practices. Data were analyzed using descriptive statistics and chi-square tests to explore associations between socio-demographic factors and KAC scores. Findings revealed that while the majority of participants (59.1% to 81.8%) had heard of anemia, correct knowledge of iron as the key nutrient for its prevention was low, with only 5.6% to 33.3% identifying it correctly. Furthermore, awareness that menstruation increases anemia risk was notably poor, reaching as low as 15.2% in some schools. Attitudes toward iron-rich foods were generally positive, with many acknowledging their importance for academic performance (up to 82.0%), though taste preferences and cultural beliefs remained barriers. Consumption patterns showed that while legumes were frequently consumed, daily intake of highly bioavailable iron sources like red meat was low (13.9% to 35.9%). Statistical analysis indicated that socio-demographic factors, including age, class, and ethnicity, were not significantly associated with knowledge, attitude, and consumption (p &gt; 0.05). The study concludes that targeted nutrition education and behavioral interventions are needed to improve awareness and promote regular consumption of iron-rich foods among female adolescents in Sokoto Metropolis, thereby reducing the risk of iron deficiency and its associated health consequences.</w:t>
      </w:r>
    </w:p>
    <w:p w14:paraId="003C0B69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1A8E74A8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661E0106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281A2548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0E150437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574F6947" w14:textId="77777777" w:rsidR="00345461" w:rsidRDefault="00345461" w:rsidP="00345461">
      <w:pPr>
        <w:jc w:val="center"/>
        <w:rPr>
          <w:rFonts w:ascii="Times New Roman" w:hAnsi="Times New Roman" w:cs="Times New Roman"/>
        </w:rPr>
      </w:pPr>
    </w:p>
    <w:p w14:paraId="3CFDFDDD" w14:textId="77777777" w:rsidR="00345461" w:rsidRDefault="00345461"/>
    <w:sectPr w:rsidR="00345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61"/>
    <w:rsid w:val="00345461"/>
    <w:rsid w:val="00CB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B77C0"/>
  <w15:chartTrackingRefBased/>
  <w15:docId w15:val="{57C6D1DB-406E-446F-B1C2-D0511329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461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4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4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4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4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4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46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46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46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46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4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4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4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5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46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5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46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5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46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54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4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46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qFormat/>
    <w:rsid w:val="00345461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qFormat/>
    <w:rsid w:val="00345461"/>
    <w:rPr>
      <w:rFonts w:ascii="Times New Roman" w:eastAsia="SimSu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2026-05-26T08:17:00Z</dcterms:created>
  <dcterms:modified xsi:type="dcterms:W3CDTF">2026-05-26T08:17:00Z</dcterms:modified>
</cp:coreProperties>
</file>