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C9F9" w14:textId="77777777" w:rsidR="00712815" w:rsidRDefault="00712815" w:rsidP="007128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Type 2 diabetes mellitus (T2DM) represents a growing public health crisis, with microvascular complications (MVCs) contributing to morbidity; however, regional data from Northern Nigeria, including Sokoto, are limited. This cross-sectional study assessed MVC patterns among T2DM patients attending diabetes clinics in Sokoto. One hundred consenting adults (mean age 58.4 ± 10.2 years; 52% female; mean diabetes duration 6.8 ± 3.1 years) were evaluated using clinical assessments, fasting blood glucose (FBG), urine protein-creatinine ratio (UPCR), and blood pressure measurements. Data analysis employed one-way ANOVA, Tukey's post-hoc, and chi-square tests (</w:t>
      </w:r>
      <w:r>
        <w:rPr>
          <w:i/>
          <w:iCs/>
          <w:color w:val="000000"/>
          <w:sz w:val="24"/>
          <w:szCs w:val="24"/>
        </w:rPr>
        <w:t xml:space="preserve">p </w:t>
      </w:r>
      <w:r>
        <w:rPr>
          <w:color w:val="000000"/>
          <w:sz w:val="24"/>
          <w:szCs w:val="24"/>
        </w:rPr>
        <w:t>&lt; 0.05). MVCs affected 80% of participants: multiple MVCs (23%), retinopathy (22%), nephropathy (18%), and neuropathy (17%). FBG was elevated in multiple MVCs (10.82 ± 0.58 mmol/L) versus none (7.29 ± 0.49 mmol/L)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=0.008). UPCR was highest in nephropathy (3.00 ± 0.00) versus none (1.05 ± 0.05)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=0.001). Systolic/diastolic blood pressures were significantly higher in complicated groups (multiple MVCs: 144.87 ± 2.211/91.17 ± 1.596 mmHg vs. none: 127.25 ± 5.139/75.35 ± 1.077 mmHg)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=0.001). Significant sociodemographic associations included older age, with &gt;67 years having higher nephropathy/multiple MVCs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=0.002), female sex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=0.038) with more retinopathy/multiple MVCs, longer diabetes duration &gt;5 years were higher across all MVCs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=0.001), and low physical activity was linked to multiple MVCs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 xml:space="preserve">=0.020). </w:t>
      </w:r>
      <w:proofErr w:type="spellStart"/>
      <w:r>
        <w:rPr>
          <w:color w:val="000000"/>
          <w:sz w:val="24"/>
          <w:szCs w:val="24"/>
        </w:rPr>
        <w:t>Hyperglycaemia</w:t>
      </w:r>
      <w:proofErr w:type="spellEnd"/>
      <w:r>
        <w:rPr>
          <w:color w:val="000000"/>
          <w:sz w:val="24"/>
          <w:szCs w:val="24"/>
        </w:rPr>
        <w:t xml:space="preserve">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=0.002) and hypertension (</w:t>
      </w:r>
      <w:r>
        <w:rPr>
          <w:i/>
          <w:iCs/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 xml:space="preserve">=0.001) strongly correlated with MVCs. These findings reveal a high MVC burden in Sokoto, exacerbated by poor </w:t>
      </w:r>
      <w:proofErr w:type="spellStart"/>
      <w:r>
        <w:rPr>
          <w:color w:val="000000"/>
          <w:sz w:val="24"/>
          <w:szCs w:val="24"/>
        </w:rPr>
        <w:t>glycaemic</w:t>
      </w:r>
      <w:proofErr w:type="spellEnd"/>
      <w:r>
        <w:rPr>
          <w:color w:val="000000"/>
          <w:sz w:val="24"/>
          <w:szCs w:val="24"/>
        </w:rPr>
        <w:t>/hypertensive control and sociodemographic risks. Urgent implementation of routine screening, lifestyle interventions, and integrated management is essential to curb progression.</w:t>
      </w:r>
    </w:p>
    <w:p w14:paraId="286E46AD" w14:textId="77777777" w:rsidR="00712815" w:rsidRDefault="00712815" w:rsidP="00712815"/>
    <w:p w14:paraId="349BAD00" w14:textId="77777777" w:rsidR="00712815" w:rsidRDefault="00712815"/>
    <w:sectPr w:rsidR="00712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15"/>
    <w:rsid w:val="004C31DD"/>
    <w:rsid w:val="007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0797"/>
  <w15:chartTrackingRefBased/>
  <w15:docId w15:val="{520D546C-C180-4C09-A602-BD211903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12815"/>
    <w:pPr>
      <w:spacing w:line="48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8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8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8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8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8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81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81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81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81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8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8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8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8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8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81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81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2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81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28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8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8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8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2026-05-13T14:25:00Z</dcterms:created>
  <dcterms:modified xsi:type="dcterms:W3CDTF">2026-05-13T14:26:00Z</dcterms:modified>
</cp:coreProperties>
</file>