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41FB3" w14:textId="77777777" w:rsidR="00A04DDC" w:rsidRPr="00704117" w:rsidRDefault="00A04DDC" w:rsidP="00A04DD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04117">
        <w:rPr>
          <w:rFonts w:ascii="Times New Roman" w:hAnsi="Times New Roman"/>
          <w:sz w:val="24"/>
          <w:szCs w:val="24"/>
        </w:rPr>
        <w:t xml:space="preserve">This study evaluates the effect of aqueous leaves extracts of </w:t>
      </w:r>
      <w:r w:rsidRPr="00704117">
        <w:rPr>
          <w:rFonts w:ascii="Times New Roman" w:hAnsi="Times New Roman"/>
          <w:bCs/>
          <w:i/>
          <w:iCs/>
          <w:sz w:val="24"/>
          <w:szCs w:val="24"/>
        </w:rPr>
        <w:t xml:space="preserve">Abrus </w:t>
      </w:r>
      <w:proofErr w:type="spellStart"/>
      <w:r w:rsidRPr="00704117">
        <w:rPr>
          <w:rFonts w:ascii="Times New Roman" w:hAnsi="Times New Roman"/>
          <w:bCs/>
          <w:i/>
          <w:iCs/>
          <w:sz w:val="24"/>
          <w:szCs w:val="24"/>
        </w:rPr>
        <w:t>precatorius</w:t>
      </w:r>
      <w:proofErr w:type="spellEnd"/>
      <w:r w:rsidRPr="00704117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704117">
        <w:rPr>
          <w:rFonts w:ascii="Times New Roman" w:hAnsi="Times New Roman"/>
          <w:sz w:val="24"/>
          <w:szCs w:val="24"/>
        </w:rPr>
        <w:t>on IFN-γ in female Wistar rats. A Total of 20 Wistar rats were used. The rats were randomly grouped into four groups of 5 rats each, Group I received 10 ml of normal saline, Group II-IV received different doses (200, 400 and 800 mg/</w:t>
      </w:r>
      <w:proofErr w:type="spellStart"/>
      <w:r w:rsidRPr="00704117">
        <w:rPr>
          <w:rFonts w:ascii="Times New Roman" w:hAnsi="Times New Roman"/>
          <w:sz w:val="24"/>
          <w:szCs w:val="24"/>
        </w:rPr>
        <w:t>kgbw</w:t>
      </w:r>
      <w:proofErr w:type="spellEnd"/>
      <w:r w:rsidRPr="00704117">
        <w:rPr>
          <w:rFonts w:ascii="Times New Roman" w:hAnsi="Times New Roman"/>
          <w:sz w:val="24"/>
          <w:szCs w:val="24"/>
        </w:rPr>
        <w:t>) of the extract orally, respectively for 14 days. Blood samples were collected in plain container and processed to obtain a serum.  Serum levels of IFN-γ were measured using enzyme-linked immunosorbent assay.</w:t>
      </w:r>
      <w:r w:rsidRPr="00704117">
        <w:rPr>
          <w:rFonts w:ascii="Times New Roman" w:eastAsia="Times New Roman" w:hAnsi="Times New Roman"/>
          <w:sz w:val="24"/>
          <w:szCs w:val="24"/>
        </w:rPr>
        <w:t xml:space="preserve"> </w:t>
      </w:r>
      <w:r w:rsidRPr="00704117">
        <w:rPr>
          <w:rFonts w:ascii="Times New Roman" w:hAnsi="Times New Roman"/>
          <w:sz w:val="24"/>
          <w:szCs w:val="24"/>
        </w:rPr>
        <w:t>The mean serum level for Group I, II, III and IV are 60.37</w:t>
      </w:r>
      <w:r w:rsidRPr="00704117">
        <w:rPr>
          <w:rFonts w:ascii="Times New Roman" w:hAnsi="Times New Roman"/>
          <w:color w:val="010205"/>
          <w:sz w:val="24"/>
          <w:szCs w:val="24"/>
        </w:rPr>
        <w:t xml:space="preserve"> </w:t>
      </w:r>
      <w:proofErr w:type="spellStart"/>
      <w:r w:rsidRPr="00704117">
        <w:rPr>
          <w:rFonts w:ascii="Times New Roman" w:hAnsi="Times New Roman"/>
          <w:color w:val="010205"/>
          <w:sz w:val="24"/>
          <w:szCs w:val="24"/>
        </w:rPr>
        <w:t>pg</w:t>
      </w:r>
      <w:proofErr w:type="spellEnd"/>
      <w:r w:rsidRPr="00704117">
        <w:rPr>
          <w:rFonts w:ascii="Times New Roman" w:hAnsi="Times New Roman"/>
          <w:color w:val="010205"/>
          <w:sz w:val="24"/>
          <w:szCs w:val="24"/>
        </w:rPr>
        <w:t>/mL</w:t>
      </w:r>
      <w:r w:rsidRPr="00704117">
        <w:rPr>
          <w:rFonts w:ascii="Times New Roman" w:hAnsi="Times New Roman"/>
          <w:sz w:val="24"/>
          <w:szCs w:val="24"/>
        </w:rPr>
        <w:t xml:space="preserve">, 84.49 </w:t>
      </w:r>
      <w:proofErr w:type="spellStart"/>
      <w:r w:rsidRPr="00704117">
        <w:rPr>
          <w:rFonts w:ascii="Times New Roman" w:hAnsi="Times New Roman"/>
          <w:color w:val="010205"/>
          <w:sz w:val="24"/>
          <w:szCs w:val="24"/>
        </w:rPr>
        <w:t>pg</w:t>
      </w:r>
      <w:proofErr w:type="spellEnd"/>
      <w:r w:rsidRPr="00704117">
        <w:rPr>
          <w:rFonts w:ascii="Times New Roman" w:hAnsi="Times New Roman"/>
          <w:color w:val="010205"/>
          <w:sz w:val="24"/>
          <w:szCs w:val="24"/>
        </w:rPr>
        <w:t>/mL</w:t>
      </w:r>
      <w:r w:rsidRPr="00704117">
        <w:rPr>
          <w:rFonts w:ascii="Times New Roman" w:hAnsi="Times New Roman"/>
          <w:sz w:val="24"/>
          <w:szCs w:val="24"/>
        </w:rPr>
        <w:t>, 118.75</w:t>
      </w:r>
      <w:r w:rsidRPr="00704117">
        <w:rPr>
          <w:rFonts w:ascii="Times New Roman" w:hAnsi="Times New Roman"/>
          <w:color w:val="010205"/>
          <w:sz w:val="24"/>
          <w:szCs w:val="24"/>
        </w:rPr>
        <w:t xml:space="preserve"> </w:t>
      </w:r>
      <w:proofErr w:type="spellStart"/>
      <w:r w:rsidRPr="00704117">
        <w:rPr>
          <w:rFonts w:ascii="Times New Roman" w:hAnsi="Times New Roman"/>
          <w:color w:val="010205"/>
          <w:sz w:val="24"/>
          <w:szCs w:val="24"/>
        </w:rPr>
        <w:t>pg</w:t>
      </w:r>
      <w:proofErr w:type="spellEnd"/>
      <w:r w:rsidRPr="00704117">
        <w:rPr>
          <w:rFonts w:ascii="Times New Roman" w:hAnsi="Times New Roman"/>
          <w:color w:val="010205"/>
          <w:sz w:val="24"/>
          <w:szCs w:val="24"/>
        </w:rPr>
        <w:t>/mL</w:t>
      </w:r>
      <w:r w:rsidRPr="00704117">
        <w:rPr>
          <w:rFonts w:ascii="Times New Roman" w:hAnsi="Times New Roman"/>
          <w:sz w:val="24"/>
          <w:szCs w:val="24"/>
        </w:rPr>
        <w:t xml:space="preserve"> a</w:t>
      </w:r>
      <w:r w:rsidRPr="00704117">
        <w:rPr>
          <w:rFonts w:ascii="Times New Roman" w:eastAsia="Times New Roman" w:hAnsi="Times New Roman"/>
          <w:sz w:val="24"/>
          <w:szCs w:val="24"/>
        </w:rPr>
        <w:t>nd</w:t>
      </w:r>
      <w:r w:rsidRPr="00704117">
        <w:rPr>
          <w:rFonts w:ascii="Times New Roman" w:hAnsi="Times New Roman"/>
          <w:sz w:val="24"/>
          <w:szCs w:val="24"/>
        </w:rPr>
        <w:t xml:space="preserve"> 84.82</w:t>
      </w:r>
      <w:r w:rsidRPr="00704117">
        <w:rPr>
          <w:rFonts w:ascii="Times New Roman" w:hAnsi="Times New Roman"/>
          <w:color w:val="010205"/>
          <w:sz w:val="24"/>
          <w:szCs w:val="24"/>
        </w:rPr>
        <w:t xml:space="preserve"> </w:t>
      </w:r>
      <w:proofErr w:type="spellStart"/>
      <w:r w:rsidRPr="00704117">
        <w:rPr>
          <w:rFonts w:ascii="Times New Roman" w:hAnsi="Times New Roman"/>
          <w:color w:val="010205"/>
          <w:sz w:val="24"/>
          <w:szCs w:val="24"/>
        </w:rPr>
        <w:t>pg</w:t>
      </w:r>
      <w:proofErr w:type="spellEnd"/>
      <w:r w:rsidRPr="00704117">
        <w:rPr>
          <w:rFonts w:ascii="Times New Roman" w:hAnsi="Times New Roman"/>
          <w:color w:val="010205"/>
          <w:sz w:val="24"/>
          <w:szCs w:val="24"/>
        </w:rPr>
        <w:t>/mL</w:t>
      </w:r>
      <w:r w:rsidRPr="00704117">
        <w:rPr>
          <w:rFonts w:ascii="Times New Roman" w:hAnsi="Times New Roman"/>
          <w:sz w:val="24"/>
          <w:szCs w:val="24"/>
        </w:rPr>
        <w:t xml:space="preserve"> </w:t>
      </w:r>
      <w:r w:rsidRPr="00704117">
        <w:rPr>
          <w:rFonts w:ascii="Times New Roman" w:hAnsi="Times New Roman"/>
          <w:color w:val="010205"/>
          <w:sz w:val="24"/>
          <w:szCs w:val="24"/>
        </w:rPr>
        <w:t>respectively</w:t>
      </w:r>
      <w:r w:rsidRPr="00704117">
        <w:rPr>
          <w:rFonts w:ascii="Times New Roman" w:eastAsia="Times New Roman" w:hAnsi="Times New Roman"/>
          <w:sz w:val="24"/>
          <w:szCs w:val="24"/>
        </w:rPr>
        <w:t>.</w:t>
      </w:r>
      <w:r w:rsidRPr="00704117">
        <w:rPr>
          <w:rFonts w:ascii="Times New Roman" w:hAnsi="Times New Roman"/>
          <w:color w:val="010205"/>
          <w:sz w:val="24"/>
          <w:szCs w:val="24"/>
        </w:rPr>
        <w:t xml:space="preserve"> T</w:t>
      </w:r>
      <w:r w:rsidRPr="00704117">
        <w:rPr>
          <w:rFonts w:ascii="Times New Roman" w:hAnsi="Times New Roman"/>
          <w:sz w:val="24"/>
          <w:szCs w:val="24"/>
        </w:rPr>
        <w:t>here was a statistically significant difference in the mean serum level of IFN-γ across the different groups</w:t>
      </w:r>
      <w:r w:rsidRPr="00704117">
        <w:rPr>
          <w:rFonts w:ascii="Times New Roman" w:hAnsi="Times New Roman"/>
          <w:color w:val="010205"/>
          <w:sz w:val="24"/>
          <w:szCs w:val="24"/>
        </w:rPr>
        <w:t xml:space="preserve"> </w:t>
      </w:r>
      <w:r w:rsidRPr="00704117">
        <w:rPr>
          <w:rFonts w:ascii="Times New Roman" w:hAnsi="Times New Roman"/>
          <w:sz w:val="24"/>
          <w:szCs w:val="24"/>
        </w:rPr>
        <w:t>(p&lt;0.000</w:t>
      </w:r>
      <w:r>
        <w:rPr>
          <w:rFonts w:ascii="Times New Roman" w:hAnsi="Times New Roman"/>
          <w:sz w:val="24"/>
          <w:szCs w:val="24"/>
        </w:rPr>
        <w:t>1</w:t>
      </w:r>
      <w:r w:rsidRPr="00704117">
        <w:rPr>
          <w:rFonts w:ascii="Times New Roman" w:hAnsi="Times New Roman"/>
          <w:sz w:val="24"/>
          <w:szCs w:val="24"/>
        </w:rPr>
        <w:t xml:space="preserve">). </w:t>
      </w:r>
      <w:r w:rsidRPr="00704117">
        <w:rPr>
          <w:rFonts w:ascii="Times New Roman" w:hAnsi="Times New Roman"/>
          <w:color w:val="010205"/>
          <w:sz w:val="24"/>
          <w:szCs w:val="24"/>
        </w:rPr>
        <w:t xml:space="preserve">There was a </w:t>
      </w:r>
      <w:r w:rsidRPr="00704117">
        <w:rPr>
          <w:rFonts w:ascii="Times New Roman" w:hAnsi="Times New Roman"/>
          <w:sz w:val="24"/>
          <w:szCs w:val="24"/>
        </w:rPr>
        <w:t xml:space="preserve">significant increase in serum level of IFN-γ in group treated with medium dose of the extract compared with normal control group (p&lt;0.001). This indicates its potential pro-inflammatory activity. Further investigations should be conducted to elucidate the underlying mechanisms by which the aqueous leaves extracts of </w:t>
      </w:r>
      <w:r w:rsidRPr="00704117">
        <w:rPr>
          <w:rFonts w:ascii="Times New Roman" w:hAnsi="Times New Roman"/>
          <w:bCs/>
          <w:i/>
          <w:iCs/>
          <w:sz w:val="24"/>
          <w:szCs w:val="24"/>
        </w:rPr>
        <w:t xml:space="preserve">Abrus </w:t>
      </w:r>
      <w:proofErr w:type="spellStart"/>
      <w:r w:rsidRPr="00704117">
        <w:rPr>
          <w:rFonts w:ascii="Times New Roman" w:hAnsi="Times New Roman"/>
          <w:bCs/>
          <w:i/>
          <w:iCs/>
          <w:sz w:val="24"/>
          <w:szCs w:val="24"/>
        </w:rPr>
        <w:t>precatorius</w:t>
      </w:r>
      <w:proofErr w:type="spellEnd"/>
      <w:r w:rsidRPr="00704117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704117">
        <w:rPr>
          <w:rFonts w:ascii="Times New Roman" w:hAnsi="Times New Roman"/>
          <w:sz w:val="24"/>
          <w:szCs w:val="24"/>
        </w:rPr>
        <w:t>exerts its potential pro-inflammatory effects.</w:t>
      </w:r>
    </w:p>
    <w:p w14:paraId="5EF0D99C" w14:textId="77777777" w:rsidR="00A04DDC" w:rsidRPr="00704117" w:rsidRDefault="00A04DDC" w:rsidP="00A04DDC">
      <w:pPr>
        <w:rPr>
          <w:sz w:val="24"/>
          <w:szCs w:val="24"/>
          <w:lang w:val="en-US" w:eastAsia="en-US"/>
        </w:rPr>
      </w:pPr>
    </w:p>
    <w:p w14:paraId="58D92FBB" w14:textId="77777777" w:rsidR="00A04DDC" w:rsidRDefault="00A04DDC" w:rsidP="00A04DDC">
      <w:pPr>
        <w:spacing w:after="0" w:line="360" w:lineRule="auto"/>
        <w:jc w:val="both"/>
        <w:rPr>
          <w:rFonts w:ascii="Times New Roman" w:hAnsi="Times New Roman"/>
          <w:b/>
          <w:bCs/>
        </w:rPr>
      </w:pPr>
    </w:p>
    <w:p w14:paraId="1F08FA1E" w14:textId="77777777" w:rsidR="00A04DDC" w:rsidRDefault="00A04DDC" w:rsidP="00A04DDC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67133A3" w14:textId="77777777" w:rsidR="00A04DDC" w:rsidRDefault="00A04DDC"/>
    <w:sectPr w:rsidR="00A04D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DDC"/>
    <w:rsid w:val="009B4F09"/>
    <w:rsid w:val="00A0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DC2BF"/>
  <w15:chartTrackingRefBased/>
  <w15:docId w15:val="{1F7C8B66-607E-42F2-B06A-CA5127F49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DDC"/>
    <w:pPr>
      <w:spacing w:after="200" w:line="276" w:lineRule="auto"/>
    </w:pPr>
    <w:rPr>
      <w:rFonts w:ascii="Calibri" w:eastAsia="SimSun" w:hAnsi="Calibri" w:cs="Times New Roman"/>
      <w:kern w:val="0"/>
      <w:sz w:val="22"/>
      <w:szCs w:val="22"/>
      <w:lang w:val="en-GB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4D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4D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4DD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4DD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4DD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4DD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4DD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4DD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4DD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4D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4D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4D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4D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4D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4D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4D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4D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4D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4D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04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4DD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04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4DD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04D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4DD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04D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D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D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4D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2026-04-30T11:15:00Z</dcterms:created>
  <dcterms:modified xsi:type="dcterms:W3CDTF">2026-04-30T11:16:00Z</dcterms:modified>
</cp:coreProperties>
</file>