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9061C" w14:textId="77777777" w:rsidR="00E81412" w:rsidRPr="001E16BD" w:rsidRDefault="00E81412" w:rsidP="00E81412">
      <w:pPr>
        <w:spacing w:after="0" w:line="240" w:lineRule="auto"/>
        <w:jc w:val="both"/>
        <w:rPr>
          <w:rFonts w:ascii="Times New Roman" w:eastAsia="Times New Roman" w:hAnsi="Times New Roman" w:cs="Times New Roman"/>
          <w:kern w:val="0"/>
          <w14:ligatures w14:val="none"/>
        </w:rPr>
      </w:pPr>
      <w:r w:rsidRPr="001E16BD">
        <w:rPr>
          <w:rFonts w:ascii="Times New Roman" w:hAnsi="Times New Roman" w:cs="Times New Roman"/>
        </w:rPr>
        <w:t xml:space="preserve">Medicinal plants are valuable sources of bioactive compounds for the management of inflammatory diseases characterized by elevated tumour necrosis factor-alpha (TNF-α). </w:t>
      </w:r>
    </w:p>
    <w:p w14:paraId="06BC3B5D" w14:textId="77777777" w:rsidR="00E81412" w:rsidRPr="001E16BD" w:rsidRDefault="00E81412" w:rsidP="00E81412">
      <w:pPr>
        <w:spacing w:after="0" w:line="240" w:lineRule="auto"/>
        <w:jc w:val="both"/>
        <w:rPr>
          <w:rFonts w:ascii="Times New Roman" w:hAnsi="Times New Roman" w:cs="Times New Roman"/>
        </w:rPr>
      </w:pPr>
      <w:r w:rsidRPr="001E16BD">
        <w:rPr>
          <w:rFonts w:ascii="Times New Roman" w:eastAsia="Times New Roman" w:hAnsi="Times New Roman" w:cs="Times New Roman"/>
          <w:kern w:val="0"/>
          <w14:ligatures w14:val="none"/>
        </w:rPr>
        <w:t xml:space="preserve">This study evaluated the effect of the chloroform fraction of </w:t>
      </w:r>
      <w:r w:rsidRPr="001E16BD">
        <w:rPr>
          <w:rFonts w:ascii="Times New Roman" w:eastAsia="Times New Roman" w:hAnsi="Times New Roman" w:cs="Times New Roman"/>
          <w:i/>
          <w:iCs/>
          <w:kern w:val="0"/>
          <w14:ligatures w14:val="none"/>
        </w:rPr>
        <w:t>Vitellaria paradoxa</w:t>
      </w:r>
      <w:r w:rsidRPr="001E16BD">
        <w:rPr>
          <w:rFonts w:ascii="Times New Roman" w:eastAsia="Times New Roman" w:hAnsi="Times New Roman" w:cs="Times New Roman"/>
          <w:kern w:val="0"/>
          <w14:ligatures w14:val="none"/>
        </w:rPr>
        <w:t xml:space="preserve"> stem bark on serum TNF-α levels in Complete Freund’s Adjuvant (CFA)-induced chronic inflammation in Wistar rats. Twenty-five rats were randomly divided into five groups namely; normal control group received 10ml distilled water, negative control inducted and received distilled water, dexamethasone group inducted and received Dexamethasone treatment groups were inducted and received chloroform fraction at doses of 250 and 500 mg/</w:t>
      </w:r>
      <w:proofErr w:type="spellStart"/>
      <w:r w:rsidRPr="001E16BD">
        <w:rPr>
          <w:rFonts w:ascii="Times New Roman" w:eastAsia="Times New Roman" w:hAnsi="Times New Roman" w:cs="Times New Roman"/>
          <w:kern w:val="0"/>
          <w14:ligatures w14:val="none"/>
        </w:rPr>
        <w:t>kgbw</w:t>
      </w:r>
      <w:proofErr w:type="spellEnd"/>
      <w:r w:rsidRPr="001E16BD">
        <w:rPr>
          <w:rFonts w:ascii="Times New Roman" w:eastAsia="Times New Roman" w:hAnsi="Times New Roman" w:cs="Times New Roman"/>
          <w:kern w:val="0"/>
          <w14:ligatures w14:val="none"/>
        </w:rPr>
        <w:t xml:space="preserve">, orally for 14 days. Serum TNF-α levels were quantified using ELISA technique. The serum TNF- α determined was normal control (1.31 </w:t>
      </w:r>
      <w:proofErr w:type="spellStart"/>
      <w:r w:rsidRPr="001E16BD">
        <w:rPr>
          <w:rFonts w:ascii="Times New Roman" w:eastAsia="Times New Roman" w:hAnsi="Times New Roman" w:cs="Times New Roman"/>
          <w:kern w:val="0"/>
          <w14:ligatures w14:val="none"/>
        </w:rPr>
        <w:t>pg</w:t>
      </w:r>
      <w:proofErr w:type="spellEnd"/>
      <w:r w:rsidRPr="001E16BD">
        <w:rPr>
          <w:rFonts w:ascii="Times New Roman" w:eastAsia="Times New Roman" w:hAnsi="Times New Roman" w:cs="Times New Roman"/>
          <w:kern w:val="0"/>
          <w14:ligatures w14:val="none"/>
        </w:rPr>
        <w:t xml:space="preserve">/mL), negative control (20.31 </w:t>
      </w:r>
      <w:proofErr w:type="spellStart"/>
      <w:r w:rsidRPr="001E16BD">
        <w:rPr>
          <w:rFonts w:ascii="Times New Roman" w:eastAsia="Times New Roman" w:hAnsi="Times New Roman" w:cs="Times New Roman"/>
          <w:kern w:val="0"/>
          <w14:ligatures w14:val="none"/>
        </w:rPr>
        <w:t>pg</w:t>
      </w:r>
      <w:proofErr w:type="spellEnd"/>
      <w:r w:rsidRPr="001E16BD">
        <w:rPr>
          <w:rFonts w:ascii="Times New Roman" w:eastAsia="Times New Roman" w:hAnsi="Times New Roman" w:cs="Times New Roman"/>
          <w:kern w:val="0"/>
          <w14:ligatures w14:val="none"/>
        </w:rPr>
        <w:t xml:space="preserve">/mL), dexamethasone (3.20 </w:t>
      </w:r>
      <w:proofErr w:type="spellStart"/>
      <w:r w:rsidRPr="001E16BD">
        <w:rPr>
          <w:rFonts w:ascii="Times New Roman" w:eastAsia="Times New Roman" w:hAnsi="Times New Roman" w:cs="Times New Roman"/>
          <w:kern w:val="0"/>
          <w14:ligatures w14:val="none"/>
        </w:rPr>
        <w:t>pg</w:t>
      </w:r>
      <w:proofErr w:type="spellEnd"/>
      <w:r w:rsidRPr="001E16BD">
        <w:rPr>
          <w:rFonts w:ascii="Times New Roman" w:eastAsia="Times New Roman" w:hAnsi="Times New Roman" w:cs="Times New Roman"/>
          <w:kern w:val="0"/>
          <w14:ligatures w14:val="none"/>
        </w:rPr>
        <w:t xml:space="preserve">/mL), T250mg (6.20 </w:t>
      </w:r>
      <w:proofErr w:type="spellStart"/>
      <w:r w:rsidRPr="001E16BD">
        <w:rPr>
          <w:rFonts w:ascii="Times New Roman" w:eastAsia="Times New Roman" w:hAnsi="Times New Roman" w:cs="Times New Roman"/>
          <w:kern w:val="0"/>
          <w14:ligatures w14:val="none"/>
        </w:rPr>
        <w:t>pg</w:t>
      </w:r>
      <w:proofErr w:type="spellEnd"/>
      <w:r w:rsidRPr="001E16BD">
        <w:rPr>
          <w:rFonts w:ascii="Times New Roman" w:eastAsia="Times New Roman" w:hAnsi="Times New Roman" w:cs="Times New Roman"/>
          <w:kern w:val="0"/>
          <w14:ligatures w14:val="none"/>
        </w:rPr>
        <w:t xml:space="preserve">/mL) and T500mg (1.79 </w:t>
      </w:r>
      <w:proofErr w:type="spellStart"/>
      <w:r w:rsidRPr="001E16BD">
        <w:rPr>
          <w:rFonts w:ascii="Times New Roman" w:eastAsia="Times New Roman" w:hAnsi="Times New Roman" w:cs="Times New Roman"/>
          <w:kern w:val="0"/>
          <w14:ligatures w14:val="none"/>
        </w:rPr>
        <w:t>pg</w:t>
      </w:r>
      <w:proofErr w:type="spellEnd"/>
      <w:r w:rsidRPr="001E16BD">
        <w:rPr>
          <w:rFonts w:ascii="Times New Roman" w:eastAsia="Times New Roman" w:hAnsi="Times New Roman" w:cs="Times New Roman"/>
          <w:kern w:val="0"/>
          <w14:ligatures w14:val="none"/>
        </w:rPr>
        <w:t xml:space="preserve">/mL). No significant difference between normal control and treatments groups (p&lt;0.05). </w:t>
      </w:r>
      <w:r w:rsidRPr="001E16BD">
        <w:rPr>
          <w:rFonts w:ascii="Times New Roman" w:hAnsi="Times New Roman" w:cs="Times New Roman"/>
        </w:rPr>
        <w:t xml:space="preserve">The chloroform fraction of stem bark of </w:t>
      </w:r>
      <w:r w:rsidRPr="001E16BD">
        <w:rPr>
          <w:rStyle w:val="Emphasis"/>
          <w:rFonts w:ascii="Times New Roman" w:hAnsi="Times New Roman" w:cs="Times New Roman"/>
        </w:rPr>
        <w:t>Vitellaria paradoxa</w:t>
      </w:r>
      <w:r w:rsidRPr="001E16BD">
        <w:rPr>
          <w:rFonts w:ascii="Times New Roman" w:hAnsi="Times New Roman" w:cs="Times New Roman"/>
        </w:rPr>
        <w:t xml:space="preserve"> was able to contain the serum level of TNF-α in CFA-induced chronic inflammation. This indicates potential anti-inflammatory activity. </w:t>
      </w:r>
      <w:r w:rsidRPr="001E16BD">
        <w:rPr>
          <w:rFonts w:ascii="Times New Roman" w:eastAsia="Times New Roman" w:hAnsi="Times New Roman" w:cs="Times New Roman"/>
          <w:kern w:val="0"/>
          <w14:ligatures w14:val="none"/>
        </w:rPr>
        <w:t>Further studies are recommended to isolate the active constituents and evaluate long-term safety and clinical relevance.</w:t>
      </w:r>
    </w:p>
    <w:p w14:paraId="7E3E146E" w14:textId="77777777" w:rsidR="00E81412" w:rsidRPr="001E16BD" w:rsidRDefault="00E81412" w:rsidP="00E81412">
      <w:pPr>
        <w:spacing w:after="0" w:line="240" w:lineRule="auto"/>
        <w:jc w:val="both"/>
        <w:rPr>
          <w:rFonts w:ascii="Times New Roman" w:hAnsi="Times New Roman" w:cs="Times New Roman"/>
        </w:rPr>
      </w:pPr>
    </w:p>
    <w:p w14:paraId="2EA2C243" w14:textId="77777777" w:rsidR="00E81412" w:rsidRPr="001E16BD" w:rsidRDefault="00E81412" w:rsidP="00E81412">
      <w:pPr>
        <w:rPr>
          <w:rFonts w:ascii="Times New Roman" w:eastAsia="Times New Roman" w:hAnsi="Times New Roman" w:cs="Times New Roman"/>
          <w:b/>
          <w:bCs/>
          <w:kern w:val="36"/>
          <w14:ligatures w14:val="none"/>
        </w:rPr>
      </w:pPr>
    </w:p>
    <w:p w14:paraId="38BF306E" w14:textId="77777777" w:rsidR="00E81412" w:rsidRDefault="00E81412"/>
    <w:sectPr w:rsidR="00E814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412"/>
    <w:rsid w:val="000E7C0B"/>
    <w:rsid w:val="00E814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1B614"/>
  <w15:chartTrackingRefBased/>
  <w15:docId w15:val="{5B769248-DA15-4C11-92EA-AB47215A1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412"/>
    <w:rPr>
      <w:lang w:val="en-GB"/>
    </w:rPr>
  </w:style>
  <w:style w:type="paragraph" w:styleId="Heading1">
    <w:name w:val="heading 1"/>
    <w:basedOn w:val="Normal"/>
    <w:next w:val="Normal"/>
    <w:link w:val="Heading1Char"/>
    <w:uiPriority w:val="9"/>
    <w:qFormat/>
    <w:rsid w:val="00E81412"/>
    <w:pPr>
      <w:keepNext/>
      <w:keepLines/>
      <w:spacing w:before="360" w:after="80"/>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E81412"/>
    <w:pPr>
      <w:keepNext/>
      <w:keepLines/>
      <w:spacing w:before="160" w:after="80"/>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E81412"/>
    <w:pPr>
      <w:keepNext/>
      <w:keepLines/>
      <w:spacing w:before="160" w:after="80"/>
      <w:outlineLvl w:val="2"/>
    </w:pPr>
    <w:rPr>
      <w:rFonts w:eastAsiaTheme="majorEastAsia"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E81412"/>
    <w:pPr>
      <w:keepNext/>
      <w:keepLines/>
      <w:spacing w:before="80" w:after="40"/>
      <w:outlineLvl w:val="3"/>
    </w:pPr>
    <w:rPr>
      <w:rFonts w:eastAsiaTheme="majorEastAsia" w:cstheme="majorBidi"/>
      <w:i/>
      <w:iCs/>
      <w:color w:val="2F5496" w:themeColor="accent1" w:themeShade="BF"/>
      <w:lang w:val="en-US"/>
    </w:rPr>
  </w:style>
  <w:style w:type="paragraph" w:styleId="Heading5">
    <w:name w:val="heading 5"/>
    <w:basedOn w:val="Normal"/>
    <w:next w:val="Normal"/>
    <w:link w:val="Heading5Char"/>
    <w:uiPriority w:val="9"/>
    <w:semiHidden/>
    <w:unhideWhenUsed/>
    <w:qFormat/>
    <w:rsid w:val="00E81412"/>
    <w:pPr>
      <w:keepNext/>
      <w:keepLines/>
      <w:spacing w:before="80" w:after="40"/>
      <w:outlineLvl w:val="4"/>
    </w:pPr>
    <w:rPr>
      <w:rFonts w:eastAsiaTheme="majorEastAsia" w:cstheme="majorBidi"/>
      <w:color w:val="2F5496" w:themeColor="accent1" w:themeShade="BF"/>
      <w:lang w:val="en-US"/>
    </w:rPr>
  </w:style>
  <w:style w:type="paragraph" w:styleId="Heading6">
    <w:name w:val="heading 6"/>
    <w:basedOn w:val="Normal"/>
    <w:next w:val="Normal"/>
    <w:link w:val="Heading6Char"/>
    <w:uiPriority w:val="9"/>
    <w:semiHidden/>
    <w:unhideWhenUsed/>
    <w:qFormat/>
    <w:rsid w:val="00E81412"/>
    <w:pPr>
      <w:keepNext/>
      <w:keepLines/>
      <w:spacing w:before="40" w:after="0"/>
      <w:outlineLvl w:val="5"/>
    </w:pPr>
    <w:rPr>
      <w:rFonts w:eastAsiaTheme="majorEastAsia" w:cstheme="majorBidi"/>
      <w:i/>
      <w:iCs/>
      <w:color w:val="595959" w:themeColor="text1" w:themeTint="A6"/>
      <w:lang w:val="en-US"/>
    </w:rPr>
  </w:style>
  <w:style w:type="paragraph" w:styleId="Heading7">
    <w:name w:val="heading 7"/>
    <w:basedOn w:val="Normal"/>
    <w:next w:val="Normal"/>
    <w:link w:val="Heading7Char"/>
    <w:uiPriority w:val="9"/>
    <w:semiHidden/>
    <w:unhideWhenUsed/>
    <w:qFormat/>
    <w:rsid w:val="00E81412"/>
    <w:pPr>
      <w:keepNext/>
      <w:keepLines/>
      <w:spacing w:before="40" w:after="0"/>
      <w:outlineLvl w:val="6"/>
    </w:pPr>
    <w:rPr>
      <w:rFonts w:eastAsiaTheme="majorEastAsia" w:cstheme="majorBidi"/>
      <w:color w:val="595959" w:themeColor="text1" w:themeTint="A6"/>
      <w:lang w:val="en-US"/>
    </w:rPr>
  </w:style>
  <w:style w:type="paragraph" w:styleId="Heading8">
    <w:name w:val="heading 8"/>
    <w:basedOn w:val="Normal"/>
    <w:next w:val="Normal"/>
    <w:link w:val="Heading8Char"/>
    <w:uiPriority w:val="9"/>
    <w:semiHidden/>
    <w:unhideWhenUsed/>
    <w:qFormat/>
    <w:rsid w:val="00E81412"/>
    <w:pPr>
      <w:keepNext/>
      <w:keepLines/>
      <w:spacing w:after="0"/>
      <w:outlineLvl w:val="7"/>
    </w:pPr>
    <w:rPr>
      <w:rFonts w:eastAsiaTheme="majorEastAsia" w:cstheme="majorBidi"/>
      <w:i/>
      <w:iCs/>
      <w:color w:val="272727" w:themeColor="text1" w:themeTint="D8"/>
      <w:lang w:val="en-US"/>
    </w:rPr>
  </w:style>
  <w:style w:type="paragraph" w:styleId="Heading9">
    <w:name w:val="heading 9"/>
    <w:basedOn w:val="Normal"/>
    <w:next w:val="Normal"/>
    <w:link w:val="Heading9Char"/>
    <w:uiPriority w:val="9"/>
    <w:semiHidden/>
    <w:unhideWhenUsed/>
    <w:qFormat/>
    <w:rsid w:val="00E81412"/>
    <w:pPr>
      <w:keepNext/>
      <w:keepLines/>
      <w:spacing w:after="0"/>
      <w:outlineLvl w:val="8"/>
    </w:pPr>
    <w:rPr>
      <w:rFonts w:eastAsiaTheme="majorEastAsia" w:cstheme="majorBidi"/>
      <w:color w:val="272727" w:themeColor="text1" w:themeTint="D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141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8141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8141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8141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8141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814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14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14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1412"/>
    <w:rPr>
      <w:rFonts w:eastAsiaTheme="majorEastAsia" w:cstheme="majorBidi"/>
      <w:color w:val="272727" w:themeColor="text1" w:themeTint="D8"/>
    </w:rPr>
  </w:style>
  <w:style w:type="paragraph" w:styleId="Title">
    <w:name w:val="Title"/>
    <w:basedOn w:val="Normal"/>
    <w:next w:val="Normal"/>
    <w:link w:val="TitleChar"/>
    <w:uiPriority w:val="10"/>
    <w:qFormat/>
    <w:rsid w:val="00E81412"/>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E814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1412"/>
    <w:pPr>
      <w:numPr>
        <w:ilvl w:val="1"/>
      </w:numPr>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E814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1412"/>
    <w:pPr>
      <w:spacing w:before="160"/>
      <w:jc w:val="center"/>
    </w:pPr>
    <w:rPr>
      <w:i/>
      <w:iCs/>
      <w:color w:val="404040" w:themeColor="text1" w:themeTint="BF"/>
      <w:lang w:val="en-US"/>
    </w:rPr>
  </w:style>
  <w:style w:type="character" w:customStyle="1" w:styleId="QuoteChar">
    <w:name w:val="Quote Char"/>
    <w:basedOn w:val="DefaultParagraphFont"/>
    <w:link w:val="Quote"/>
    <w:uiPriority w:val="29"/>
    <w:rsid w:val="00E81412"/>
    <w:rPr>
      <w:i/>
      <w:iCs/>
      <w:color w:val="404040" w:themeColor="text1" w:themeTint="BF"/>
    </w:rPr>
  </w:style>
  <w:style w:type="paragraph" w:styleId="ListParagraph">
    <w:name w:val="List Paragraph"/>
    <w:basedOn w:val="Normal"/>
    <w:uiPriority w:val="34"/>
    <w:qFormat/>
    <w:rsid w:val="00E81412"/>
    <w:pPr>
      <w:ind w:left="720"/>
      <w:contextualSpacing/>
    </w:pPr>
    <w:rPr>
      <w:lang w:val="en-US"/>
    </w:rPr>
  </w:style>
  <w:style w:type="character" w:styleId="IntenseEmphasis">
    <w:name w:val="Intense Emphasis"/>
    <w:basedOn w:val="DefaultParagraphFont"/>
    <w:uiPriority w:val="21"/>
    <w:qFormat/>
    <w:rsid w:val="00E81412"/>
    <w:rPr>
      <w:i/>
      <w:iCs/>
      <w:color w:val="2F5496" w:themeColor="accent1" w:themeShade="BF"/>
    </w:rPr>
  </w:style>
  <w:style w:type="paragraph" w:styleId="IntenseQuote">
    <w:name w:val="Intense Quote"/>
    <w:basedOn w:val="Normal"/>
    <w:next w:val="Normal"/>
    <w:link w:val="IntenseQuoteChar"/>
    <w:uiPriority w:val="30"/>
    <w:qFormat/>
    <w:rsid w:val="00E814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en-US"/>
    </w:rPr>
  </w:style>
  <w:style w:type="character" w:customStyle="1" w:styleId="IntenseQuoteChar">
    <w:name w:val="Intense Quote Char"/>
    <w:basedOn w:val="DefaultParagraphFont"/>
    <w:link w:val="IntenseQuote"/>
    <w:uiPriority w:val="30"/>
    <w:rsid w:val="00E81412"/>
    <w:rPr>
      <w:i/>
      <w:iCs/>
      <w:color w:val="2F5496" w:themeColor="accent1" w:themeShade="BF"/>
    </w:rPr>
  </w:style>
  <w:style w:type="character" w:styleId="IntenseReference">
    <w:name w:val="Intense Reference"/>
    <w:basedOn w:val="DefaultParagraphFont"/>
    <w:uiPriority w:val="32"/>
    <w:qFormat/>
    <w:rsid w:val="00E81412"/>
    <w:rPr>
      <w:b/>
      <w:bCs/>
      <w:smallCaps/>
      <w:color w:val="2F5496" w:themeColor="accent1" w:themeShade="BF"/>
      <w:spacing w:val="5"/>
    </w:rPr>
  </w:style>
  <w:style w:type="character" w:styleId="Emphasis">
    <w:name w:val="Emphasis"/>
    <w:basedOn w:val="DefaultParagraphFont"/>
    <w:uiPriority w:val="20"/>
    <w:qFormat/>
    <w:rsid w:val="00E8141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199</Words>
  <Characters>1135</Characters>
  <Application>Microsoft Office Word</Application>
  <DocSecurity>0</DocSecurity>
  <Lines>9</Lines>
  <Paragraphs>2</Paragraphs>
  <ScaleCrop>false</ScaleCrop>
  <Company/>
  <LinksUpToDate>false</LinksUpToDate>
  <CharactersWithSpaces>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2026-04-29T12:43:00Z</dcterms:created>
  <dcterms:modified xsi:type="dcterms:W3CDTF">2026-04-29T12:44:00Z</dcterms:modified>
</cp:coreProperties>
</file>